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E1" w:rsidRPr="00D82BE1" w:rsidRDefault="00D82BE1" w:rsidP="00D82BE1">
      <w:pPr>
        <w:pStyle w:val="mainbody1"/>
        <w:keepNext/>
        <w:jc w:val="center"/>
        <w:rPr>
          <w:b/>
          <w:bCs/>
          <w:sz w:val="32"/>
          <w:szCs w:val="32"/>
          <w:lang w:val="en-US"/>
        </w:rPr>
      </w:pPr>
      <w:r w:rsidRPr="00D82BE1">
        <w:rPr>
          <w:b/>
          <w:bCs/>
          <w:sz w:val="32"/>
          <w:szCs w:val="32"/>
          <w:lang w:val="en-US"/>
        </w:rPr>
        <w:t>ANNEX III</w:t>
      </w:r>
      <w:r w:rsidR="0096417B">
        <w:rPr>
          <w:b/>
          <w:bCs/>
          <w:sz w:val="32"/>
          <w:szCs w:val="32"/>
          <w:lang w:val="en-US"/>
        </w:rPr>
        <w:t xml:space="preserve"> _ Financial Proposal</w:t>
      </w:r>
    </w:p>
    <w:p w:rsidR="00B45829" w:rsidRPr="00BF6074" w:rsidRDefault="00B45829" w:rsidP="00B45829">
      <w:pPr>
        <w:pStyle w:val="mainbody1"/>
        <w:keepNext/>
        <w:spacing w:after="0"/>
      </w:pPr>
      <w:r w:rsidRPr="00BF6074">
        <w:t>All prices shall be in Euros (€) net of all duties and taxes. As an international organisation the ITER Organization is exempt from all taxes and duties. Applicable taxes (if any) shall be shown separately.</w:t>
      </w:r>
    </w:p>
    <w:p w:rsidR="00B45829" w:rsidRPr="00BF6074" w:rsidRDefault="00B45829" w:rsidP="00B45829">
      <w:pPr>
        <w:pStyle w:val="mainbody1"/>
        <w:keepNext/>
        <w:spacing w:after="0"/>
      </w:pPr>
      <w:r w:rsidRPr="00BF6074">
        <w:t xml:space="preserve">The </w:t>
      </w:r>
      <w:r w:rsidRPr="00BF6074">
        <w:rPr>
          <w:b/>
        </w:rPr>
        <w:t>Financial Offer</w:t>
      </w:r>
      <w:r w:rsidRPr="00BF6074">
        <w:t xml:space="preserve"> shall be submitted in the basis of the following:</w:t>
      </w:r>
    </w:p>
    <w:p w:rsidR="00B45829" w:rsidRPr="00BF6074" w:rsidRDefault="00B45829" w:rsidP="00B45829">
      <w:pPr>
        <w:tabs>
          <w:tab w:val="left" w:pos="1134"/>
        </w:tabs>
        <w:rPr>
          <w:rFonts w:eastAsia="SimSun"/>
          <w:szCs w:val="24"/>
        </w:rPr>
      </w:pPr>
    </w:p>
    <w:p w:rsidR="00B45829" w:rsidRPr="00BF6074" w:rsidRDefault="00B45829" w:rsidP="00B45829">
      <w:pPr>
        <w:tabs>
          <w:tab w:val="left" w:pos="1134"/>
        </w:tabs>
        <w:rPr>
          <w:rFonts w:eastAsia="SimSun"/>
          <w:szCs w:val="24"/>
        </w:rPr>
      </w:pPr>
      <w:r w:rsidRPr="00BF6074">
        <w:rPr>
          <w:rFonts w:eastAsia="SimSun"/>
          <w:szCs w:val="24"/>
        </w:rPr>
        <w:t>Having examined</w:t>
      </w:r>
      <w:r w:rsidR="00FC0B0C" w:rsidRPr="00BF6074">
        <w:rPr>
          <w:rFonts w:eastAsia="SimSun"/>
          <w:szCs w:val="24"/>
        </w:rPr>
        <w:t xml:space="preserve"> all</w:t>
      </w:r>
      <w:r w:rsidRPr="00BF6074">
        <w:rPr>
          <w:rFonts w:eastAsia="SimSun"/>
          <w:szCs w:val="24"/>
        </w:rPr>
        <w:t xml:space="preserve"> the</w:t>
      </w:r>
      <w:r w:rsidR="00FC0B0C" w:rsidRPr="00BF6074">
        <w:rPr>
          <w:rFonts w:eastAsia="SimSun"/>
          <w:szCs w:val="24"/>
        </w:rPr>
        <w:t xml:space="preserve"> </w:t>
      </w:r>
      <w:r w:rsidRPr="00BF6074">
        <w:rPr>
          <w:rFonts w:eastAsia="SimSun"/>
          <w:szCs w:val="24"/>
        </w:rPr>
        <w:t>Documents</w:t>
      </w:r>
      <w:r w:rsidR="00FC0B0C" w:rsidRPr="00BF6074">
        <w:rPr>
          <w:rFonts w:eastAsia="SimSun"/>
          <w:szCs w:val="24"/>
        </w:rPr>
        <w:t xml:space="preserve"> attached to this </w:t>
      </w:r>
      <w:r w:rsidR="009306EC">
        <w:rPr>
          <w:rFonts w:eastAsia="SimSun"/>
          <w:szCs w:val="24"/>
        </w:rPr>
        <w:t>Call For Expertise</w:t>
      </w:r>
      <w:r w:rsidRPr="00BF6074">
        <w:rPr>
          <w:rFonts w:eastAsia="SimSun"/>
          <w:szCs w:val="24"/>
        </w:rPr>
        <w:t>, including the Scope of Services</w:t>
      </w:r>
      <w:r w:rsidR="00BC1FCC" w:rsidRPr="00BF6074">
        <w:rPr>
          <w:rFonts w:eastAsia="SimSun"/>
          <w:szCs w:val="24"/>
        </w:rPr>
        <w:t xml:space="preserve"> and t</w:t>
      </w:r>
      <w:r w:rsidRPr="00BF6074">
        <w:rPr>
          <w:rFonts w:eastAsia="SimSun"/>
          <w:szCs w:val="24"/>
        </w:rPr>
        <w:t>he</w:t>
      </w:r>
      <w:r w:rsidR="00BC1FCC" w:rsidRPr="00BF6074">
        <w:rPr>
          <w:rFonts w:eastAsia="SimSun"/>
          <w:szCs w:val="24"/>
        </w:rPr>
        <w:t xml:space="preserve"> Technical Specification </w:t>
      </w:r>
      <w:r w:rsidRPr="00BF6074">
        <w:rPr>
          <w:rFonts w:eastAsia="SimSun"/>
          <w:szCs w:val="24"/>
        </w:rPr>
        <w:t>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B45829" w:rsidRPr="00BF6074" w:rsidRDefault="00B45829" w:rsidP="00B45829">
      <w:pPr>
        <w:tabs>
          <w:tab w:val="left" w:pos="1134"/>
        </w:tabs>
        <w:rPr>
          <w:bCs/>
        </w:rPr>
      </w:pPr>
    </w:p>
    <w:p w:rsidR="00B45829" w:rsidRPr="00323420" w:rsidRDefault="00B45829" w:rsidP="00323420">
      <w:pPr>
        <w:tabs>
          <w:tab w:val="left" w:pos="1134"/>
          <w:tab w:val="left" w:pos="5760"/>
        </w:tabs>
        <w:rPr>
          <w:b/>
          <w:bCs/>
          <w:szCs w:val="24"/>
        </w:rPr>
      </w:pPr>
      <w:r w:rsidRPr="00323420">
        <w:rPr>
          <w:b/>
          <w:bCs/>
        </w:rPr>
        <w:t xml:space="preserve">Firm and Fixed </w:t>
      </w:r>
      <w:r w:rsidR="00C948DF" w:rsidRPr="00323420">
        <w:rPr>
          <w:b/>
          <w:bCs/>
        </w:rPr>
        <w:t xml:space="preserve">Total </w:t>
      </w:r>
      <w:r w:rsidRPr="00323420">
        <w:rPr>
          <w:b/>
          <w:bCs/>
        </w:rPr>
        <w:t>Contract Price:</w:t>
      </w:r>
      <w:r w:rsidR="00D82BE1" w:rsidRPr="00323420">
        <w:rPr>
          <w:b/>
          <w:bCs/>
        </w:rPr>
        <w:t xml:space="preserve">  </w:t>
      </w:r>
      <w:r w:rsidRPr="00323420">
        <w:rPr>
          <w:b/>
          <w:bCs/>
          <w:szCs w:val="24"/>
        </w:rPr>
        <w:t>€</w:t>
      </w:r>
      <w:r w:rsidR="00676CE2" w:rsidRPr="00323420">
        <w:rPr>
          <w:b/>
          <w:bCs/>
          <w:szCs w:val="24"/>
        </w:rPr>
        <w:t>______________</w:t>
      </w:r>
      <w:r w:rsidRPr="00323420">
        <w:rPr>
          <w:b/>
          <w:bCs/>
          <w:szCs w:val="24"/>
        </w:rPr>
        <w:t xml:space="preserve"> </w:t>
      </w:r>
    </w:p>
    <w:p w:rsidR="00C23192" w:rsidRPr="008F36F6" w:rsidRDefault="00C23192" w:rsidP="008F36F6">
      <w:pPr>
        <w:tabs>
          <w:tab w:val="left" w:pos="1134"/>
          <w:tab w:val="left" w:pos="5760"/>
        </w:tabs>
        <w:jc w:val="left"/>
        <w:rPr>
          <w:bCs/>
          <w:szCs w:val="24"/>
        </w:rPr>
      </w:pPr>
    </w:p>
    <w:tbl>
      <w:tblPr>
        <w:tblpPr w:leftFromText="180" w:rightFromText="180" w:vertAnchor="text" w:horzAnchor="margin" w:tblpY="2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1701"/>
        <w:gridCol w:w="1310"/>
      </w:tblGrid>
      <w:tr w:rsidR="008F36F6" w:rsidRPr="006922C6" w:rsidTr="00087BC1">
        <w:trPr>
          <w:trHeight w:val="551"/>
        </w:trPr>
        <w:tc>
          <w:tcPr>
            <w:tcW w:w="1384" w:type="dxa"/>
            <w:vAlign w:val="center"/>
          </w:tcPr>
          <w:p w:rsidR="008F36F6" w:rsidRPr="00BC5247" w:rsidRDefault="008F36F6" w:rsidP="008F36F6">
            <w:pPr>
              <w:jc w:val="center"/>
              <w:rPr>
                <w:b/>
                <w:szCs w:val="24"/>
              </w:rPr>
            </w:pPr>
            <w:r w:rsidRPr="00BC5247">
              <w:rPr>
                <w:b/>
                <w:szCs w:val="24"/>
              </w:rPr>
              <w:t>Task</w:t>
            </w:r>
          </w:p>
        </w:tc>
        <w:tc>
          <w:tcPr>
            <w:tcW w:w="4961" w:type="dxa"/>
            <w:vAlign w:val="center"/>
          </w:tcPr>
          <w:p w:rsidR="008F36F6" w:rsidRPr="00BC5247" w:rsidRDefault="008F36F6" w:rsidP="008F36F6">
            <w:pPr>
              <w:jc w:val="center"/>
              <w:rPr>
                <w:b/>
                <w:szCs w:val="24"/>
              </w:rPr>
            </w:pPr>
            <w:r w:rsidRPr="00BC5247">
              <w:rPr>
                <w:b/>
                <w:szCs w:val="24"/>
              </w:rPr>
              <w:t>Deliverables</w:t>
            </w:r>
          </w:p>
        </w:tc>
        <w:tc>
          <w:tcPr>
            <w:tcW w:w="1701" w:type="dxa"/>
            <w:vAlign w:val="center"/>
          </w:tcPr>
          <w:p w:rsidR="008F36F6" w:rsidRPr="00BC5247" w:rsidRDefault="008F36F6" w:rsidP="008F36F6">
            <w:pPr>
              <w:jc w:val="center"/>
              <w:rPr>
                <w:b/>
                <w:szCs w:val="24"/>
              </w:rPr>
            </w:pPr>
            <w:r w:rsidRPr="00BC5247">
              <w:rPr>
                <w:b/>
                <w:szCs w:val="24"/>
              </w:rPr>
              <w:t>Due Date</w:t>
            </w:r>
          </w:p>
        </w:tc>
        <w:tc>
          <w:tcPr>
            <w:tcW w:w="1310" w:type="dxa"/>
            <w:vAlign w:val="center"/>
          </w:tcPr>
          <w:p w:rsidR="008F36F6" w:rsidRPr="00BC5247" w:rsidRDefault="008F36F6" w:rsidP="008F36F6">
            <w:pPr>
              <w:jc w:val="center"/>
              <w:rPr>
                <w:b/>
                <w:szCs w:val="24"/>
              </w:rPr>
            </w:pPr>
            <w:r w:rsidRPr="00BC5247">
              <w:rPr>
                <w:b/>
                <w:szCs w:val="24"/>
              </w:rPr>
              <w:t>€ Price</w:t>
            </w:r>
          </w:p>
        </w:tc>
      </w:tr>
      <w:tr w:rsidR="00991384" w:rsidRPr="006922C6" w:rsidTr="00087BC1">
        <w:trPr>
          <w:trHeight w:val="92"/>
        </w:trPr>
        <w:tc>
          <w:tcPr>
            <w:tcW w:w="1384" w:type="dxa"/>
            <w:vAlign w:val="center"/>
          </w:tcPr>
          <w:p w:rsidR="00991384" w:rsidRPr="00BC5247" w:rsidRDefault="008D056E" w:rsidP="008F36F6">
            <w:pPr>
              <w:spacing w:before="120"/>
              <w:jc w:val="center"/>
              <w:rPr>
                <w:szCs w:val="24"/>
                <w:lang w:val="en-US"/>
              </w:rPr>
            </w:pPr>
            <w:r>
              <w:rPr>
                <w:szCs w:val="24"/>
                <w:lang w:val="en-US"/>
              </w:rPr>
              <w:t>1.1.1</w:t>
            </w:r>
          </w:p>
        </w:tc>
        <w:tc>
          <w:tcPr>
            <w:tcW w:w="4961" w:type="dxa"/>
            <w:vAlign w:val="center"/>
          </w:tcPr>
          <w:p w:rsidR="00991384" w:rsidRPr="00BC5247" w:rsidRDefault="008D056E" w:rsidP="0096417B">
            <w:pPr>
              <w:spacing w:before="120"/>
              <w:jc w:val="left"/>
              <w:rPr>
                <w:szCs w:val="24"/>
              </w:rPr>
            </w:pPr>
            <w:r w:rsidRPr="008D056E">
              <w:rPr>
                <w:i/>
                <w:iCs/>
                <w:szCs w:val="24"/>
              </w:rPr>
              <w:t>Review of Manufacturing Documents</w:t>
            </w:r>
          </w:p>
        </w:tc>
        <w:tc>
          <w:tcPr>
            <w:tcW w:w="1701" w:type="dxa"/>
            <w:vAlign w:val="center"/>
          </w:tcPr>
          <w:p w:rsidR="008E673D" w:rsidRPr="008E673D" w:rsidRDefault="008E673D" w:rsidP="008E673D">
            <w:pPr>
              <w:jc w:val="center"/>
              <w:rPr>
                <w:szCs w:val="24"/>
              </w:rPr>
            </w:pPr>
            <w:r w:rsidRPr="008E673D">
              <w:rPr>
                <w:szCs w:val="24"/>
              </w:rPr>
              <w:t xml:space="preserve">T0 + </w:t>
            </w:r>
            <w:r w:rsidR="00087BC1">
              <w:rPr>
                <w:szCs w:val="24"/>
              </w:rPr>
              <w:t>1</w:t>
            </w:r>
            <w:r w:rsidR="008D056E">
              <w:rPr>
                <w:szCs w:val="24"/>
              </w:rPr>
              <w:t>2</w:t>
            </w:r>
          </w:p>
          <w:p w:rsidR="00991384" w:rsidRPr="00BC5247" w:rsidRDefault="008E673D" w:rsidP="00087BC1">
            <w:pPr>
              <w:jc w:val="center"/>
              <w:rPr>
                <w:szCs w:val="24"/>
              </w:rPr>
            </w:pPr>
            <w:r w:rsidRPr="008E673D">
              <w:rPr>
                <w:szCs w:val="24"/>
              </w:rPr>
              <w:t>month</w:t>
            </w:r>
            <w:r w:rsidR="008D056E">
              <w:rPr>
                <w:szCs w:val="24"/>
              </w:rPr>
              <w:t>s</w:t>
            </w:r>
          </w:p>
        </w:tc>
        <w:tc>
          <w:tcPr>
            <w:tcW w:w="1310" w:type="dxa"/>
            <w:vAlign w:val="center"/>
          </w:tcPr>
          <w:p w:rsidR="00991384" w:rsidRPr="00BC5247" w:rsidRDefault="00991384" w:rsidP="008F36F6">
            <w:pPr>
              <w:jc w:val="center"/>
              <w:rPr>
                <w:szCs w:val="24"/>
              </w:rPr>
            </w:pPr>
          </w:p>
        </w:tc>
      </w:tr>
      <w:tr w:rsidR="00991384" w:rsidRPr="006922C6" w:rsidTr="00087BC1">
        <w:trPr>
          <w:trHeight w:val="97"/>
        </w:trPr>
        <w:tc>
          <w:tcPr>
            <w:tcW w:w="1384" w:type="dxa"/>
            <w:vAlign w:val="center"/>
          </w:tcPr>
          <w:p w:rsidR="00991384" w:rsidRPr="00BC5247" w:rsidRDefault="008D056E" w:rsidP="008F36F6">
            <w:pPr>
              <w:jc w:val="center"/>
              <w:rPr>
                <w:szCs w:val="24"/>
                <w:lang w:val="en-US"/>
              </w:rPr>
            </w:pPr>
            <w:r>
              <w:rPr>
                <w:szCs w:val="24"/>
                <w:lang w:val="en-US"/>
              </w:rPr>
              <w:t>1.2.1</w:t>
            </w:r>
          </w:p>
        </w:tc>
        <w:tc>
          <w:tcPr>
            <w:tcW w:w="4961" w:type="dxa"/>
            <w:vAlign w:val="center"/>
          </w:tcPr>
          <w:p w:rsidR="00AE3CE3" w:rsidRPr="00AE3CE3" w:rsidRDefault="00AE3CE3" w:rsidP="00AE3CE3">
            <w:pPr>
              <w:jc w:val="left"/>
              <w:rPr>
                <w:iCs/>
                <w:szCs w:val="24"/>
              </w:rPr>
            </w:pPr>
            <w:r w:rsidRPr="00AE3CE3">
              <w:rPr>
                <w:iCs/>
                <w:szCs w:val="24"/>
              </w:rPr>
              <w:t xml:space="preserve"> Report on visit to review manufacturing progress and documentation related to TFCS outboard sub-assemblies and </w:t>
            </w:r>
            <w:proofErr w:type="spellStart"/>
            <w:r w:rsidRPr="00AE3CE3">
              <w:rPr>
                <w:iCs/>
                <w:szCs w:val="24"/>
              </w:rPr>
              <w:t>intercoils</w:t>
            </w:r>
            <w:proofErr w:type="spellEnd"/>
            <w:r w:rsidRPr="00AE3CE3">
              <w:rPr>
                <w:iCs/>
                <w:szCs w:val="24"/>
              </w:rPr>
              <w:t xml:space="preserve"> structure components, including MIP intervention points, 3 days duration </w:t>
            </w:r>
          </w:p>
          <w:p w:rsidR="00AE3CE3" w:rsidRPr="00AE3CE3" w:rsidRDefault="00AE3CE3" w:rsidP="00AE3CE3">
            <w:pPr>
              <w:jc w:val="left"/>
              <w:rPr>
                <w:iCs/>
                <w:szCs w:val="24"/>
              </w:rPr>
            </w:pPr>
            <w:r w:rsidRPr="00AE3CE3">
              <w:rPr>
                <w:iCs/>
                <w:szCs w:val="24"/>
              </w:rPr>
              <w:t> Report on visit to review manufacturing progress and documentation</w:t>
            </w:r>
            <w:r>
              <w:rPr>
                <w:iCs/>
                <w:szCs w:val="24"/>
              </w:rPr>
              <w:t xml:space="preserve"> </w:t>
            </w:r>
            <w:r w:rsidRPr="00AE3CE3">
              <w:rPr>
                <w:iCs/>
                <w:szCs w:val="24"/>
              </w:rPr>
              <w:t xml:space="preserve">related to TFCS outboard sub-assemblies and </w:t>
            </w:r>
            <w:proofErr w:type="spellStart"/>
            <w:r w:rsidRPr="00AE3CE3">
              <w:rPr>
                <w:iCs/>
                <w:szCs w:val="24"/>
              </w:rPr>
              <w:t>intercoils</w:t>
            </w:r>
            <w:proofErr w:type="spellEnd"/>
            <w:r w:rsidRPr="00AE3CE3">
              <w:rPr>
                <w:iCs/>
                <w:szCs w:val="24"/>
              </w:rPr>
              <w:t xml:space="preserve"> structure components including MIP intervention points, 3 days duration</w:t>
            </w:r>
          </w:p>
          <w:p w:rsidR="00991384" w:rsidRPr="00AE3CE3" w:rsidRDefault="00AE3CE3" w:rsidP="00AE3CE3">
            <w:pPr>
              <w:jc w:val="left"/>
              <w:rPr>
                <w:szCs w:val="24"/>
              </w:rPr>
            </w:pPr>
            <w:r w:rsidRPr="00AE3CE3">
              <w:rPr>
                <w:iCs/>
                <w:szCs w:val="24"/>
              </w:rPr>
              <w:t> Report on visit to review manufacturing progress and documentation</w:t>
            </w:r>
            <w:r>
              <w:rPr>
                <w:iCs/>
                <w:szCs w:val="24"/>
              </w:rPr>
              <w:t xml:space="preserve"> </w:t>
            </w:r>
            <w:r w:rsidRPr="00AE3CE3">
              <w:rPr>
                <w:iCs/>
                <w:szCs w:val="24"/>
              </w:rPr>
              <w:t xml:space="preserve">related to TFCS outboard sub-assemblies and </w:t>
            </w:r>
            <w:proofErr w:type="spellStart"/>
            <w:r w:rsidRPr="00AE3CE3">
              <w:rPr>
                <w:iCs/>
                <w:szCs w:val="24"/>
              </w:rPr>
              <w:t>intercoils</w:t>
            </w:r>
            <w:proofErr w:type="spellEnd"/>
            <w:r w:rsidRPr="00AE3CE3">
              <w:rPr>
                <w:iCs/>
                <w:szCs w:val="24"/>
              </w:rPr>
              <w:t xml:space="preserve"> structure</w:t>
            </w:r>
            <w:r>
              <w:rPr>
                <w:iCs/>
                <w:szCs w:val="24"/>
              </w:rPr>
              <w:t xml:space="preserve"> </w:t>
            </w:r>
            <w:r w:rsidRPr="00AE3CE3">
              <w:rPr>
                <w:iCs/>
                <w:szCs w:val="24"/>
              </w:rPr>
              <w:t>components including MIP intervention points, 3 days duration</w:t>
            </w:r>
          </w:p>
        </w:tc>
        <w:tc>
          <w:tcPr>
            <w:tcW w:w="1701" w:type="dxa"/>
            <w:vAlign w:val="center"/>
          </w:tcPr>
          <w:p w:rsidR="008E673D" w:rsidRPr="008E673D" w:rsidRDefault="008E673D" w:rsidP="008E673D">
            <w:pPr>
              <w:jc w:val="center"/>
              <w:rPr>
                <w:szCs w:val="24"/>
              </w:rPr>
            </w:pPr>
            <w:r>
              <w:rPr>
                <w:szCs w:val="24"/>
              </w:rPr>
              <w:t xml:space="preserve">T0 + </w:t>
            </w:r>
            <w:r w:rsidR="00AE3CE3">
              <w:rPr>
                <w:szCs w:val="24"/>
              </w:rPr>
              <w:t>2</w:t>
            </w:r>
          </w:p>
          <w:p w:rsidR="00991384" w:rsidRPr="00BC5247" w:rsidRDefault="008E673D" w:rsidP="008E673D">
            <w:pPr>
              <w:jc w:val="center"/>
              <w:rPr>
                <w:szCs w:val="24"/>
              </w:rPr>
            </w:pPr>
            <w:r w:rsidRPr="008E673D">
              <w:rPr>
                <w:szCs w:val="24"/>
              </w:rPr>
              <w:t>month</w:t>
            </w:r>
            <w:r>
              <w:rPr>
                <w:szCs w:val="24"/>
              </w:rPr>
              <w:t>s</w:t>
            </w:r>
          </w:p>
        </w:tc>
        <w:tc>
          <w:tcPr>
            <w:tcW w:w="1310" w:type="dxa"/>
            <w:vAlign w:val="center"/>
          </w:tcPr>
          <w:p w:rsidR="00991384" w:rsidRPr="00BC5247" w:rsidRDefault="00991384" w:rsidP="008F36F6">
            <w:pPr>
              <w:spacing w:before="120" w:after="120"/>
              <w:jc w:val="center"/>
              <w:rPr>
                <w:szCs w:val="24"/>
              </w:rPr>
            </w:pPr>
          </w:p>
        </w:tc>
      </w:tr>
      <w:tr w:rsidR="00991384" w:rsidRPr="006922C6" w:rsidTr="00087BC1">
        <w:trPr>
          <w:trHeight w:val="97"/>
        </w:trPr>
        <w:tc>
          <w:tcPr>
            <w:tcW w:w="1384" w:type="dxa"/>
            <w:vAlign w:val="center"/>
          </w:tcPr>
          <w:p w:rsidR="00991384" w:rsidRPr="00BC5247" w:rsidRDefault="008D056E" w:rsidP="008F36F6">
            <w:pPr>
              <w:spacing w:before="120"/>
              <w:jc w:val="center"/>
              <w:rPr>
                <w:szCs w:val="24"/>
                <w:lang w:val="en-US"/>
              </w:rPr>
            </w:pPr>
            <w:r>
              <w:rPr>
                <w:szCs w:val="24"/>
                <w:lang w:val="en-US"/>
              </w:rPr>
              <w:t>1.2.2</w:t>
            </w:r>
          </w:p>
        </w:tc>
        <w:tc>
          <w:tcPr>
            <w:tcW w:w="4961" w:type="dxa"/>
            <w:vAlign w:val="center"/>
          </w:tcPr>
          <w:p w:rsidR="00AE3CE3" w:rsidRPr="00AE3CE3" w:rsidRDefault="00AE3CE3" w:rsidP="00AE3CE3">
            <w:pPr>
              <w:jc w:val="left"/>
              <w:rPr>
                <w:szCs w:val="24"/>
              </w:rPr>
            </w:pPr>
            <w:r w:rsidRPr="00AE3CE3">
              <w:rPr>
                <w:szCs w:val="24"/>
              </w:rPr>
              <w:t> Report on visit to review manufacturing progress and documentation</w:t>
            </w:r>
            <w:r>
              <w:rPr>
                <w:szCs w:val="24"/>
              </w:rPr>
              <w:t xml:space="preserve"> </w:t>
            </w:r>
            <w:r w:rsidRPr="00AE3CE3">
              <w:rPr>
                <w:szCs w:val="24"/>
              </w:rPr>
              <w:t xml:space="preserve">related to TFCS outboard sub-assemblies and </w:t>
            </w:r>
            <w:proofErr w:type="spellStart"/>
            <w:r w:rsidRPr="00AE3CE3">
              <w:rPr>
                <w:szCs w:val="24"/>
              </w:rPr>
              <w:t>intercoils</w:t>
            </w:r>
            <w:proofErr w:type="spellEnd"/>
            <w:r w:rsidRPr="00AE3CE3">
              <w:rPr>
                <w:szCs w:val="24"/>
              </w:rPr>
              <w:t xml:space="preserve"> structure</w:t>
            </w:r>
            <w:r>
              <w:rPr>
                <w:szCs w:val="24"/>
              </w:rPr>
              <w:t xml:space="preserve"> </w:t>
            </w:r>
            <w:r w:rsidRPr="00AE3CE3">
              <w:rPr>
                <w:szCs w:val="24"/>
              </w:rPr>
              <w:t>components including MIP intervention points, 3 days duration</w:t>
            </w:r>
          </w:p>
          <w:p w:rsidR="00AE3CE3" w:rsidRPr="00AE3CE3" w:rsidRDefault="00AE3CE3" w:rsidP="00AE3CE3">
            <w:pPr>
              <w:jc w:val="left"/>
              <w:rPr>
                <w:szCs w:val="24"/>
              </w:rPr>
            </w:pPr>
            <w:r w:rsidRPr="00AE3CE3">
              <w:rPr>
                <w:szCs w:val="24"/>
              </w:rPr>
              <w:t> Report on visit to review manufacturing progress and documentation</w:t>
            </w:r>
            <w:r>
              <w:rPr>
                <w:szCs w:val="24"/>
              </w:rPr>
              <w:t xml:space="preserve"> </w:t>
            </w:r>
            <w:r w:rsidRPr="00AE3CE3">
              <w:rPr>
                <w:szCs w:val="24"/>
              </w:rPr>
              <w:t xml:space="preserve">related to TFCS outboard sub-assemblies and </w:t>
            </w:r>
            <w:proofErr w:type="spellStart"/>
            <w:r w:rsidRPr="00AE3CE3">
              <w:rPr>
                <w:szCs w:val="24"/>
              </w:rPr>
              <w:t>intercoils</w:t>
            </w:r>
            <w:proofErr w:type="spellEnd"/>
            <w:r w:rsidRPr="00AE3CE3">
              <w:rPr>
                <w:szCs w:val="24"/>
              </w:rPr>
              <w:t xml:space="preserve"> structure</w:t>
            </w:r>
            <w:r>
              <w:rPr>
                <w:szCs w:val="24"/>
              </w:rPr>
              <w:t xml:space="preserve"> </w:t>
            </w:r>
            <w:r w:rsidRPr="00AE3CE3">
              <w:rPr>
                <w:szCs w:val="24"/>
              </w:rPr>
              <w:t>components including MIP intervention points, 3 days duration</w:t>
            </w:r>
          </w:p>
          <w:p w:rsidR="00991384" w:rsidRPr="00BC5247" w:rsidRDefault="00AE3CE3" w:rsidP="00AE3CE3">
            <w:pPr>
              <w:jc w:val="left"/>
              <w:rPr>
                <w:szCs w:val="24"/>
                <w:lang w:val="en-US"/>
              </w:rPr>
            </w:pPr>
            <w:r w:rsidRPr="00AE3CE3">
              <w:rPr>
                <w:szCs w:val="24"/>
              </w:rPr>
              <w:t> Report on visit to review manufacturing progress and documentation</w:t>
            </w:r>
            <w:r>
              <w:rPr>
                <w:szCs w:val="24"/>
              </w:rPr>
              <w:t xml:space="preserve"> </w:t>
            </w:r>
            <w:r w:rsidRPr="00AE3CE3">
              <w:rPr>
                <w:szCs w:val="24"/>
              </w:rPr>
              <w:t xml:space="preserve">related to TFCS inboard sub-assemblies and </w:t>
            </w:r>
            <w:proofErr w:type="spellStart"/>
            <w:r w:rsidRPr="00AE3CE3">
              <w:rPr>
                <w:szCs w:val="24"/>
              </w:rPr>
              <w:t>intercoils</w:t>
            </w:r>
            <w:proofErr w:type="spellEnd"/>
            <w:r w:rsidRPr="00AE3CE3">
              <w:rPr>
                <w:szCs w:val="24"/>
              </w:rPr>
              <w:t xml:space="preserve"> structure</w:t>
            </w:r>
            <w:r>
              <w:rPr>
                <w:szCs w:val="24"/>
              </w:rPr>
              <w:t xml:space="preserve"> </w:t>
            </w:r>
            <w:r w:rsidRPr="00AE3CE3">
              <w:rPr>
                <w:szCs w:val="24"/>
              </w:rPr>
              <w:t xml:space="preserve">components including MIP intervention points, 3 </w:t>
            </w:r>
            <w:r w:rsidRPr="00AE3CE3">
              <w:rPr>
                <w:szCs w:val="24"/>
              </w:rPr>
              <w:lastRenderedPageBreak/>
              <w:t>days duration</w:t>
            </w:r>
          </w:p>
        </w:tc>
        <w:tc>
          <w:tcPr>
            <w:tcW w:w="1701" w:type="dxa"/>
            <w:vAlign w:val="center"/>
          </w:tcPr>
          <w:p w:rsidR="008E673D" w:rsidRPr="008E673D" w:rsidRDefault="008E673D" w:rsidP="008E673D">
            <w:pPr>
              <w:jc w:val="center"/>
              <w:rPr>
                <w:szCs w:val="24"/>
              </w:rPr>
            </w:pPr>
            <w:r>
              <w:rPr>
                <w:szCs w:val="24"/>
              </w:rPr>
              <w:lastRenderedPageBreak/>
              <w:t xml:space="preserve">T0 + </w:t>
            </w:r>
            <w:r w:rsidR="00AE3CE3">
              <w:rPr>
                <w:szCs w:val="24"/>
              </w:rPr>
              <w:t>4</w:t>
            </w:r>
          </w:p>
          <w:p w:rsidR="00991384" w:rsidRPr="00BC5247" w:rsidRDefault="008E673D" w:rsidP="008E673D">
            <w:pPr>
              <w:jc w:val="center"/>
              <w:rPr>
                <w:szCs w:val="24"/>
              </w:rPr>
            </w:pPr>
            <w:r w:rsidRPr="008E673D">
              <w:rPr>
                <w:szCs w:val="24"/>
              </w:rPr>
              <w:t>month</w:t>
            </w:r>
            <w:r>
              <w:rPr>
                <w:szCs w:val="24"/>
              </w:rPr>
              <w:t>s</w:t>
            </w:r>
          </w:p>
        </w:tc>
        <w:tc>
          <w:tcPr>
            <w:tcW w:w="1310" w:type="dxa"/>
            <w:vAlign w:val="center"/>
          </w:tcPr>
          <w:p w:rsidR="00991384" w:rsidRPr="00BC5247" w:rsidRDefault="00991384" w:rsidP="008F36F6">
            <w:pPr>
              <w:spacing w:before="120" w:after="120"/>
              <w:jc w:val="center"/>
              <w:rPr>
                <w:szCs w:val="24"/>
              </w:rPr>
            </w:pPr>
          </w:p>
        </w:tc>
      </w:tr>
      <w:tr w:rsidR="00991384" w:rsidRPr="006922C6" w:rsidTr="00087BC1">
        <w:trPr>
          <w:trHeight w:val="97"/>
        </w:trPr>
        <w:tc>
          <w:tcPr>
            <w:tcW w:w="1384" w:type="dxa"/>
            <w:vAlign w:val="center"/>
          </w:tcPr>
          <w:p w:rsidR="00991384" w:rsidRPr="00BC5247" w:rsidRDefault="008D056E" w:rsidP="008F36F6">
            <w:pPr>
              <w:spacing w:before="120"/>
              <w:jc w:val="center"/>
              <w:rPr>
                <w:szCs w:val="24"/>
                <w:lang w:val="en-US"/>
              </w:rPr>
            </w:pPr>
            <w:r>
              <w:rPr>
                <w:szCs w:val="24"/>
                <w:lang w:val="en-US"/>
              </w:rPr>
              <w:lastRenderedPageBreak/>
              <w:t>1.2.3</w:t>
            </w:r>
          </w:p>
        </w:tc>
        <w:tc>
          <w:tcPr>
            <w:tcW w:w="4961" w:type="dxa"/>
            <w:vAlign w:val="center"/>
          </w:tcPr>
          <w:p w:rsidR="00991384" w:rsidRPr="00BC5247" w:rsidRDefault="00AE3CE3" w:rsidP="00AE3CE3">
            <w:pPr>
              <w:jc w:val="left"/>
              <w:rPr>
                <w:szCs w:val="24"/>
                <w:lang w:val="en-US"/>
              </w:rPr>
            </w:pPr>
            <w:r w:rsidRPr="00AE3CE3">
              <w:rPr>
                <w:szCs w:val="24"/>
              </w:rPr>
              <w:t> Report on visit to review manufacturing progress and documentation</w:t>
            </w:r>
            <w:r>
              <w:rPr>
                <w:szCs w:val="24"/>
              </w:rPr>
              <w:t xml:space="preserve"> </w:t>
            </w:r>
            <w:r w:rsidRPr="00AE3CE3">
              <w:rPr>
                <w:szCs w:val="24"/>
              </w:rPr>
              <w:t xml:space="preserve">related to TFCS outboard &amp; inboard sub-assemblies and </w:t>
            </w:r>
            <w:proofErr w:type="spellStart"/>
            <w:r w:rsidRPr="00AE3CE3">
              <w:rPr>
                <w:szCs w:val="24"/>
              </w:rPr>
              <w:t>intercoils</w:t>
            </w:r>
            <w:proofErr w:type="spellEnd"/>
            <w:r>
              <w:rPr>
                <w:szCs w:val="24"/>
              </w:rPr>
              <w:t xml:space="preserve"> </w:t>
            </w:r>
            <w:r w:rsidRPr="00AE3CE3">
              <w:rPr>
                <w:szCs w:val="24"/>
              </w:rPr>
              <w:t>structure components including MIP intervention points, 3 days duration</w:t>
            </w:r>
          </w:p>
        </w:tc>
        <w:tc>
          <w:tcPr>
            <w:tcW w:w="1701" w:type="dxa"/>
            <w:vAlign w:val="center"/>
          </w:tcPr>
          <w:p w:rsidR="008E673D" w:rsidRPr="008E673D" w:rsidRDefault="008E673D" w:rsidP="008E673D">
            <w:pPr>
              <w:jc w:val="center"/>
              <w:rPr>
                <w:szCs w:val="24"/>
              </w:rPr>
            </w:pPr>
            <w:r>
              <w:rPr>
                <w:szCs w:val="24"/>
              </w:rPr>
              <w:t xml:space="preserve">T0 + </w:t>
            </w:r>
            <w:r w:rsidR="00AE3CE3">
              <w:rPr>
                <w:szCs w:val="24"/>
              </w:rPr>
              <w:t>6</w:t>
            </w:r>
          </w:p>
          <w:p w:rsidR="00991384" w:rsidRPr="00BC5247" w:rsidRDefault="008E673D" w:rsidP="008E673D">
            <w:pPr>
              <w:jc w:val="center"/>
              <w:rPr>
                <w:szCs w:val="24"/>
              </w:rPr>
            </w:pPr>
            <w:r w:rsidRPr="008E673D">
              <w:rPr>
                <w:szCs w:val="24"/>
              </w:rPr>
              <w:t>month</w:t>
            </w:r>
            <w:r>
              <w:rPr>
                <w:szCs w:val="24"/>
              </w:rPr>
              <w:t>s</w:t>
            </w:r>
          </w:p>
        </w:tc>
        <w:tc>
          <w:tcPr>
            <w:tcW w:w="1310" w:type="dxa"/>
            <w:vAlign w:val="center"/>
          </w:tcPr>
          <w:p w:rsidR="00991384" w:rsidRPr="00BC5247" w:rsidRDefault="00991384" w:rsidP="008F36F6">
            <w:pPr>
              <w:spacing w:before="120" w:after="120"/>
              <w:jc w:val="center"/>
              <w:rPr>
                <w:szCs w:val="24"/>
              </w:rPr>
            </w:pPr>
          </w:p>
        </w:tc>
      </w:tr>
      <w:tr w:rsidR="00991384" w:rsidRPr="006922C6" w:rsidTr="00087BC1">
        <w:trPr>
          <w:trHeight w:val="486"/>
        </w:trPr>
        <w:tc>
          <w:tcPr>
            <w:tcW w:w="1384" w:type="dxa"/>
            <w:vAlign w:val="center"/>
          </w:tcPr>
          <w:p w:rsidR="00991384" w:rsidRPr="00BC5247" w:rsidRDefault="008D056E" w:rsidP="00BC5247">
            <w:pPr>
              <w:spacing w:before="120"/>
              <w:jc w:val="center"/>
              <w:rPr>
                <w:szCs w:val="24"/>
                <w:lang w:val="en-US"/>
              </w:rPr>
            </w:pPr>
            <w:r>
              <w:rPr>
                <w:szCs w:val="24"/>
                <w:lang w:val="en-US"/>
              </w:rPr>
              <w:t>2.1.1</w:t>
            </w:r>
          </w:p>
        </w:tc>
        <w:tc>
          <w:tcPr>
            <w:tcW w:w="4961" w:type="dxa"/>
            <w:vAlign w:val="center"/>
          </w:tcPr>
          <w:p w:rsidR="00991384" w:rsidRPr="00AE3CE3" w:rsidRDefault="00AE3CE3" w:rsidP="00017780">
            <w:pPr>
              <w:jc w:val="left"/>
              <w:rPr>
                <w:szCs w:val="24"/>
              </w:rPr>
            </w:pPr>
            <w:r w:rsidRPr="00AE3CE3">
              <w:rPr>
                <w:iCs/>
                <w:szCs w:val="24"/>
              </w:rPr>
              <w:t>Feeder Document Review</w:t>
            </w:r>
          </w:p>
        </w:tc>
        <w:tc>
          <w:tcPr>
            <w:tcW w:w="1701" w:type="dxa"/>
            <w:vAlign w:val="center"/>
          </w:tcPr>
          <w:p w:rsidR="008E673D" w:rsidRPr="008E673D" w:rsidRDefault="008E673D" w:rsidP="008E673D">
            <w:pPr>
              <w:spacing w:line="276" w:lineRule="auto"/>
              <w:jc w:val="center"/>
              <w:rPr>
                <w:szCs w:val="24"/>
              </w:rPr>
            </w:pPr>
            <w:r>
              <w:rPr>
                <w:szCs w:val="24"/>
              </w:rPr>
              <w:t xml:space="preserve">T0 + </w:t>
            </w:r>
            <w:r w:rsidR="00AE3CE3">
              <w:rPr>
                <w:szCs w:val="24"/>
              </w:rPr>
              <w:t>12</w:t>
            </w:r>
          </w:p>
          <w:p w:rsidR="00991384" w:rsidRPr="00BC5247" w:rsidRDefault="008E673D" w:rsidP="008E673D">
            <w:pPr>
              <w:spacing w:line="276" w:lineRule="auto"/>
              <w:jc w:val="center"/>
              <w:rPr>
                <w:szCs w:val="24"/>
              </w:rPr>
            </w:pPr>
            <w:r w:rsidRPr="008E673D">
              <w:rPr>
                <w:szCs w:val="24"/>
              </w:rPr>
              <w:t>month</w:t>
            </w:r>
            <w:r>
              <w:rPr>
                <w:szCs w:val="24"/>
              </w:rPr>
              <w:t>s</w:t>
            </w:r>
          </w:p>
        </w:tc>
        <w:tc>
          <w:tcPr>
            <w:tcW w:w="1310" w:type="dxa"/>
            <w:vAlign w:val="center"/>
          </w:tcPr>
          <w:p w:rsidR="00991384" w:rsidRPr="00BC5247" w:rsidRDefault="00991384" w:rsidP="008F36F6">
            <w:pPr>
              <w:spacing w:before="120" w:after="120"/>
              <w:jc w:val="center"/>
              <w:rPr>
                <w:szCs w:val="24"/>
              </w:rPr>
            </w:pPr>
          </w:p>
        </w:tc>
      </w:tr>
      <w:tr w:rsidR="008D056E" w:rsidRPr="006922C6" w:rsidTr="00087BC1">
        <w:trPr>
          <w:trHeight w:val="486"/>
        </w:trPr>
        <w:tc>
          <w:tcPr>
            <w:tcW w:w="1384" w:type="dxa"/>
            <w:vAlign w:val="center"/>
          </w:tcPr>
          <w:p w:rsidR="008D056E" w:rsidRPr="00BC5247" w:rsidRDefault="008D056E" w:rsidP="00BC5247">
            <w:pPr>
              <w:spacing w:before="120"/>
              <w:jc w:val="center"/>
              <w:rPr>
                <w:szCs w:val="24"/>
                <w:lang w:val="en-US"/>
              </w:rPr>
            </w:pPr>
            <w:r>
              <w:rPr>
                <w:szCs w:val="24"/>
                <w:lang w:val="en-US"/>
              </w:rPr>
              <w:t>2.2.1</w:t>
            </w:r>
          </w:p>
        </w:tc>
        <w:tc>
          <w:tcPr>
            <w:tcW w:w="4961" w:type="dxa"/>
            <w:vAlign w:val="center"/>
          </w:tcPr>
          <w:p w:rsidR="008D056E" w:rsidRPr="00017780" w:rsidRDefault="00AE3CE3" w:rsidP="00017780">
            <w:pPr>
              <w:jc w:val="left"/>
              <w:rPr>
                <w:szCs w:val="24"/>
              </w:rPr>
            </w:pPr>
            <w:r w:rsidRPr="00AE3CE3">
              <w:rPr>
                <w:szCs w:val="24"/>
              </w:rPr>
              <w:t>Attend CTB, SCVB box / thermal shield MRA; Shanghai/Hefei,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2</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8D056E" w:rsidP="00BC5247">
            <w:pPr>
              <w:spacing w:before="120"/>
              <w:jc w:val="center"/>
              <w:rPr>
                <w:szCs w:val="24"/>
                <w:lang w:val="en-US"/>
              </w:rPr>
            </w:pPr>
            <w:r w:rsidRPr="008D056E">
              <w:rPr>
                <w:szCs w:val="24"/>
                <w:lang w:val="en-US"/>
              </w:rPr>
              <w:t>2.2.</w:t>
            </w:r>
            <w:r>
              <w:rPr>
                <w:szCs w:val="24"/>
                <w:lang w:val="en-US"/>
              </w:rPr>
              <w:t>2</w:t>
            </w:r>
          </w:p>
        </w:tc>
        <w:tc>
          <w:tcPr>
            <w:tcW w:w="4961" w:type="dxa"/>
            <w:vAlign w:val="center"/>
          </w:tcPr>
          <w:p w:rsidR="00AE3CE3" w:rsidRPr="00AE3CE3" w:rsidRDefault="00AE3CE3" w:rsidP="00AE3CE3">
            <w:pPr>
              <w:jc w:val="left"/>
              <w:rPr>
                <w:szCs w:val="24"/>
              </w:rPr>
            </w:pPr>
            <w:r w:rsidRPr="00AE3CE3">
              <w:rPr>
                <w:szCs w:val="24"/>
              </w:rPr>
              <w:t>Visit to KY on PF4 CFT subassembly acceptance 1; Hefei, China</w:t>
            </w:r>
          </w:p>
          <w:p w:rsidR="008D056E" w:rsidRDefault="00AE3CE3" w:rsidP="00AE3CE3">
            <w:pPr>
              <w:jc w:val="left"/>
              <w:rPr>
                <w:szCs w:val="24"/>
              </w:rPr>
            </w:pPr>
            <w:r w:rsidRPr="00AE3CE3">
              <w:rPr>
                <w:szCs w:val="24"/>
              </w:rPr>
              <w:t>Visit to HX on CFT TS acceptance; Shanghai, China</w:t>
            </w:r>
          </w:p>
          <w:p w:rsidR="00AE3CE3" w:rsidRPr="00017780" w:rsidRDefault="00AE3CE3" w:rsidP="00AE3CE3">
            <w:pPr>
              <w:jc w:val="left"/>
              <w:rPr>
                <w:szCs w:val="24"/>
              </w:rPr>
            </w:pPr>
            <w:r w:rsidRPr="00AE3CE3">
              <w:rPr>
                <w:szCs w:val="24"/>
              </w:rPr>
              <w:t>Visit to ASIPP on feeder joint insulation;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3</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8D056E" w:rsidP="00BC5247">
            <w:pPr>
              <w:spacing w:before="120"/>
              <w:jc w:val="center"/>
              <w:rPr>
                <w:szCs w:val="24"/>
                <w:lang w:val="en-US"/>
              </w:rPr>
            </w:pPr>
            <w:r w:rsidRPr="008D056E">
              <w:rPr>
                <w:szCs w:val="24"/>
                <w:lang w:val="en-US"/>
              </w:rPr>
              <w:t>2.2.</w:t>
            </w:r>
            <w:r>
              <w:rPr>
                <w:szCs w:val="24"/>
                <w:lang w:val="en-US"/>
              </w:rPr>
              <w:t>3</w:t>
            </w:r>
          </w:p>
        </w:tc>
        <w:tc>
          <w:tcPr>
            <w:tcW w:w="4961" w:type="dxa"/>
            <w:vAlign w:val="center"/>
          </w:tcPr>
          <w:p w:rsidR="00AC4217" w:rsidRPr="00AC4217" w:rsidRDefault="00AC4217" w:rsidP="00AC4217">
            <w:pPr>
              <w:jc w:val="left"/>
              <w:rPr>
                <w:szCs w:val="24"/>
              </w:rPr>
            </w:pPr>
            <w:r w:rsidRPr="00AC4217">
              <w:rPr>
                <w:szCs w:val="24"/>
              </w:rPr>
              <w:t>Attend HTSCL MRA; Hefei, China</w:t>
            </w:r>
          </w:p>
          <w:p w:rsidR="00AC4217" w:rsidRPr="00AC4217" w:rsidRDefault="00AC4217" w:rsidP="00AC4217">
            <w:pPr>
              <w:jc w:val="left"/>
              <w:rPr>
                <w:szCs w:val="24"/>
              </w:rPr>
            </w:pPr>
            <w:r w:rsidRPr="00AC4217">
              <w:rPr>
                <w:szCs w:val="24"/>
              </w:rPr>
              <w:t>Visit to KY on PF4 CFT subassembly acceptance 2; Hefei, China</w:t>
            </w:r>
          </w:p>
          <w:p w:rsidR="008D056E" w:rsidRPr="00017780" w:rsidRDefault="00AC4217" w:rsidP="00AC4217">
            <w:pPr>
              <w:jc w:val="left"/>
              <w:rPr>
                <w:szCs w:val="24"/>
              </w:rPr>
            </w:pPr>
            <w:r>
              <w:rPr>
                <w:szCs w:val="24"/>
              </w:rPr>
              <w:t xml:space="preserve">Visit to ASIPP on CL + S </w:t>
            </w:r>
            <w:r w:rsidRPr="00AC4217">
              <w:rPr>
                <w:szCs w:val="24"/>
              </w:rPr>
              <w:t>bend insulation fatigue test 1;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4</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AE3CE3" w:rsidP="00BC5247">
            <w:pPr>
              <w:spacing w:before="120"/>
              <w:jc w:val="center"/>
              <w:rPr>
                <w:szCs w:val="24"/>
                <w:lang w:val="en-US"/>
              </w:rPr>
            </w:pPr>
            <w:r w:rsidRPr="00AE3CE3">
              <w:rPr>
                <w:szCs w:val="24"/>
                <w:lang w:val="en-US"/>
              </w:rPr>
              <w:t>2.2.</w:t>
            </w:r>
            <w:r>
              <w:rPr>
                <w:szCs w:val="24"/>
                <w:lang w:val="en-US"/>
              </w:rPr>
              <w:t>4</w:t>
            </w:r>
          </w:p>
        </w:tc>
        <w:tc>
          <w:tcPr>
            <w:tcW w:w="4961" w:type="dxa"/>
            <w:vAlign w:val="center"/>
          </w:tcPr>
          <w:p w:rsidR="00AC4217" w:rsidRPr="00AC4217" w:rsidRDefault="00AC4217" w:rsidP="00AC4217">
            <w:pPr>
              <w:jc w:val="left"/>
              <w:rPr>
                <w:szCs w:val="24"/>
              </w:rPr>
            </w:pPr>
            <w:r w:rsidRPr="00AC4217">
              <w:rPr>
                <w:szCs w:val="24"/>
              </w:rPr>
              <w:t xml:space="preserve">Visit to ASIPP on CL + </w:t>
            </w:r>
            <w:proofErr w:type="spellStart"/>
            <w:r w:rsidRPr="00AC4217">
              <w:rPr>
                <w:szCs w:val="24"/>
              </w:rPr>
              <w:t>S_bend</w:t>
            </w:r>
            <w:proofErr w:type="spellEnd"/>
            <w:r w:rsidRPr="00AC4217">
              <w:rPr>
                <w:szCs w:val="24"/>
              </w:rPr>
              <w:t xml:space="preserve"> insulation fatigue test 2; Hefei, China</w:t>
            </w:r>
          </w:p>
          <w:p w:rsidR="008D056E" w:rsidRPr="00017780" w:rsidRDefault="00AC4217" w:rsidP="00AC4217">
            <w:pPr>
              <w:jc w:val="left"/>
              <w:rPr>
                <w:szCs w:val="24"/>
              </w:rPr>
            </w:pPr>
            <w:r w:rsidRPr="00AC4217">
              <w:rPr>
                <w:szCs w:val="24"/>
              </w:rPr>
              <w:t>Attend CTB internal / integration MRA;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5</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AE3CE3" w:rsidP="00BC5247">
            <w:pPr>
              <w:spacing w:before="120"/>
              <w:jc w:val="center"/>
              <w:rPr>
                <w:szCs w:val="24"/>
                <w:lang w:val="en-US"/>
              </w:rPr>
            </w:pPr>
            <w:r w:rsidRPr="00AE3CE3">
              <w:rPr>
                <w:szCs w:val="24"/>
                <w:lang w:val="en-US"/>
              </w:rPr>
              <w:t>2.2.</w:t>
            </w:r>
            <w:r>
              <w:rPr>
                <w:szCs w:val="24"/>
                <w:lang w:val="en-US"/>
              </w:rPr>
              <w:t>5</w:t>
            </w:r>
          </w:p>
        </w:tc>
        <w:tc>
          <w:tcPr>
            <w:tcW w:w="4961" w:type="dxa"/>
            <w:vAlign w:val="center"/>
          </w:tcPr>
          <w:p w:rsidR="008D056E" w:rsidRPr="00017780" w:rsidRDefault="00AC4217" w:rsidP="00017780">
            <w:pPr>
              <w:jc w:val="left"/>
              <w:rPr>
                <w:szCs w:val="24"/>
              </w:rPr>
            </w:pPr>
            <w:r w:rsidRPr="00AC4217">
              <w:rPr>
                <w:szCs w:val="24"/>
              </w:rPr>
              <w:t>Visit to KY on PF4 CFT subassembly acceptance 3;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6</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AE3CE3" w:rsidP="00BC5247">
            <w:pPr>
              <w:spacing w:before="120"/>
              <w:jc w:val="center"/>
              <w:rPr>
                <w:szCs w:val="24"/>
                <w:lang w:val="en-US"/>
              </w:rPr>
            </w:pPr>
            <w:r w:rsidRPr="00AE3CE3">
              <w:rPr>
                <w:szCs w:val="24"/>
                <w:lang w:val="en-US"/>
              </w:rPr>
              <w:t>2.2.</w:t>
            </w:r>
            <w:r>
              <w:rPr>
                <w:szCs w:val="24"/>
                <w:lang w:val="en-US"/>
              </w:rPr>
              <w:t>6</w:t>
            </w:r>
          </w:p>
        </w:tc>
        <w:tc>
          <w:tcPr>
            <w:tcW w:w="4961" w:type="dxa"/>
            <w:vAlign w:val="center"/>
          </w:tcPr>
          <w:p w:rsidR="00AC4217" w:rsidRPr="00AC4217" w:rsidRDefault="00AC4217" w:rsidP="00AC4217">
            <w:pPr>
              <w:jc w:val="left"/>
              <w:rPr>
                <w:szCs w:val="24"/>
              </w:rPr>
            </w:pPr>
            <w:r w:rsidRPr="00AC4217">
              <w:rPr>
                <w:szCs w:val="24"/>
              </w:rPr>
              <w:t>Attend all CFT except PF4 CFT MRA; Hefei, China</w:t>
            </w:r>
          </w:p>
          <w:p w:rsidR="008D056E" w:rsidRPr="00017780" w:rsidRDefault="00AC4217" w:rsidP="00AC4217">
            <w:pPr>
              <w:jc w:val="left"/>
              <w:rPr>
                <w:szCs w:val="24"/>
              </w:rPr>
            </w:pPr>
            <w:r w:rsidRPr="00AC4217">
              <w:rPr>
                <w:szCs w:val="24"/>
              </w:rPr>
              <w:t>Visit to KY on PF4 CFT acceptance;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7</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AE3CE3" w:rsidP="00BC5247">
            <w:pPr>
              <w:spacing w:before="120"/>
              <w:jc w:val="center"/>
              <w:rPr>
                <w:szCs w:val="24"/>
                <w:lang w:val="en-US"/>
              </w:rPr>
            </w:pPr>
            <w:r w:rsidRPr="00AE3CE3">
              <w:rPr>
                <w:szCs w:val="24"/>
                <w:lang w:val="en-US"/>
              </w:rPr>
              <w:t>2.2.</w:t>
            </w:r>
            <w:r>
              <w:rPr>
                <w:szCs w:val="24"/>
                <w:lang w:val="en-US"/>
              </w:rPr>
              <w:t>7</w:t>
            </w:r>
          </w:p>
        </w:tc>
        <w:tc>
          <w:tcPr>
            <w:tcW w:w="4961" w:type="dxa"/>
            <w:vAlign w:val="center"/>
          </w:tcPr>
          <w:p w:rsidR="008D056E" w:rsidRPr="00017780" w:rsidRDefault="00AC4217" w:rsidP="00017780">
            <w:pPr>
              <w:jc w:val="left"/>
              <w:rPr>
                <w:szCs w:val="24"/>
              </w:rPr>
            </w:pPr>
            <w:r w:rsidRPr="00AC4217">
              <w:rPr>
                <w:szCs w:val="24"/>
              </w:rPr>
              <w:t>Visit to KY on PF4 CFT packaging;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8</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8F36F6">
            <w:pPr>
              <w:spacing w:before="120" w:after="120"/>
              <w:jc w:val="center"/>
              <w:rPr>
                <w:szCs w:val="24"/>
              </w:rPr>
            </w:pPr>
          </w:p>
        </w:tc>
      </w:tr>
      <w:tr w:rsidR="008D056E" w:rsidRPr="006922C6" w:rsidTr="00087BC1">
        <w:trPr>
          <w:trHeight w:val="486"/>
        </w:trPr>
        <w:tc>
          <w:tcPr>
            <w:tcW w:w="1384" w:type="dxa"/>
            <w:vAlign w:val="center"/>
          </w:tcPr>
          <w:p w:rsidR="008D056E" w:rsidRPr="00BC5247" w:rsidRDefault="00AE3CE3" w:rsidP="00BC5247">
            <w:pPr>
              <w:spacing w:before="120"/>
              <w:jc w:val="center"/>
              <w:rPr>
                <w:szCs w:val="24"/>
                <w:lang w:val="en-US"/>
              </w:rPr>
            </w:pPr>
            <w:r w:rsidRPr="00AE3CE3">
              <w:rPr>
                <w:szCs w:val="24"/>
                <w:lang w:val="en-US"/>
              </w:rPr>
              <w:t>2.2.</w:t>
            </w:r>
            <w:r>
              <w:rPr>
                <w:szCs w:val="24"/>
                <w:lang w:val="en-US"/>
              </w:rPr>
              <w:t>8</w:t>
            </w:r>
          </w:p>
        </w:tc>
        <w:tc>
          <w:tcPr>
            <w:tcW w:w="4961" w:type="dxa"/>
            <w:vAlign w:val="center"/>
          </w:tcPr>
          <w:p w:rsidR="008D056E" w:rsidRPr="00017780" w:rsidRDefault="00AC4217" w:rsidP="00017780">
            <w:pPr>
              <w:jc w:val="left"/>
              <w:rPr>
                <w:szCs w:val="24"/>
              </w:rPr>
            </w:pPr>
            <w:r w:rsidRPr="00AC4217">
              <w:rPr>
                <w:szCs w:val="24"/>
              </w:rPr>
              <w:t>Attend CC ICF MRA; Hefei, 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10</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D056E" w:rsidRPr="006922C6" w:rsidTr="00087BC1">
        <w:trPr>
          <w:trHeight w:val="486"/>
        </w:trPr>
        <w:tc>
          <w:tcPr>
            <w:tcW w:w="1384" w:type="dxa"/>
            <w:vAlign w:val="center"/>
          </w:tcPr>
          <w:p w:rsidR="008D056E" w:rsidRPr="00BC5247" w:rsidRDefault="00AE3CE3" w:rsidP="00BC5247">
            <w:pPr>
              <w:spacing w:before="120"/>
              <w:jc w:val="center"/>
              <w:rPr>
                <w:szCs w:val="24"/>
                <w:lang w:val="en-US"/>
              </w:rPr>
            </w:pPr>
            <w:r w:rsidRPr="00AE3CE3">
              <w:rPr>
                <w:szCs w:val="24"/>
                <w:lang w:val="en-US"/>
              </w:rPr>
              <w:t>2.2.</w:t>
            </w:r>
            <w:r>
              <w:rPr>
                <w:szCs w:val="24"/>
                <w:lang w:val="en-US"/>
              </w:rPr>
              <w:t>9</w:t>
            </w:r>
          </w:p>
        </w:tc>
        <w:tc>
          <w:tcPr>
            <w:tcW w:w="4961" w:type="dxa"/>
            <w:vAlign w:val="center"/>
          </w:tcPr>
          <w:p w:rsidR="008D056E" w:rsidRPr="00017780" w:rsidRDefault="00AC4217" w:rsidP="00AC4217">
            <w:pPr>
              <w:jc w:val="left"/>
              <w:rPr>
                <w:szCs w:val="24"/>
              </w:rPr>
            </w:pPr>
            <w:r w:rsidRPr="00AC4217">
              <w:rPr>
                <w:szCs w:val="24"/>
              </w:rPr>
              <w:t>Visit to SH on PF4 CTB cryostat / thermal shield acceptance; Shanghai,</w:t>
            </w:r>
            <w:r>
              <w:rPr>
                <w:szCs w:val="24"/>
              </w:rPr>
              <w:t xml:space="preserve"> </w:t>
            </w:r>
            <w:r w:rsidRPr="00AC4217">
              <w:rPr>
                <w:szCs w:val="24"/>
              </w:rPr>
              <w:t>China</w:t>
            </w:r>
          </w:p>
        </w:tc>
        <w:tc>
          <w:tcPr>
            <w:tcW w:w="1701" w:type="dxa"/>
            <w:vAlign w:val="center"/>
          </w:tcPr>
          <w:p w:rsidR="00AE3CE3" w:rsidRPr="00AE3CE3" w:rsidRDefault="00AE3CE3" w:rsidP="00AE3CE3">
            <w:pPr>
              <w:spacing w:line="276" w:lineRule="auto"/>
              <w:jc w:val="center"/>
              <w:rPr>
                <w:szCs w:val="24"/>
                <w:lang w:val="en-US"/>
              </w:rPr>
            </w:pPr>
            <w:r w:rsidRPr="00AE3CE3">
              <w:rPr>
                <w:szCs w:val="24"/>
                <w:lang w:val="en-US"/>
              </w:rPr>
              <w:t xml:space="preserve">T0 + </w:t>
            </w:r>
            <w:r>
              <w:rPr>
                <w:szCs w:val="24"/>
                <w:lang w:val="en-US"/>
              </w:rPr>
              <w:t>12</w:t>
            </w:r>
          </w:p>
          <w:p w:rsidR="008D056E" w:rsidRDefault="00AE3CE3" w:rsidP="00AE3CE3">
            <w:pPr>
              <w:spacing w:line="276" w:lineRule="auto"/>
              <w:jc w:val="center"/>
              <w:rPr>
                <w:szCs w:val="24"/>
              </w:rPr>
            </w:pPr>
            <w:r w:rsidRPr="00AE3CE3">
              <w:rPr>
                <w:szCs w:val="24"/>
                <w:lang w:val="en-US"/>
              </w:rPr>
              <w:t>months</w:t>
            </w:r>
          </w:p>
        </w:tc>
        <w:tc>
          <w:tcPr>
            <w:tcW w:w="1310" w:type="dxa"/>
            <w:vAlign w:val="center"/>
          </w:tcPr>
          <w:p w:rsidR="008D056E" w:rsidRPr="00BC5247" w:rsidRDefault="008D056E" w:rsidP="00AE3CE3">
            <w:pPr>
              <w:spacing w:before="120" w:after="120"/>
              <w:jc w:val="center"/>
              <w:rPr>
                <w:szCs w:val="24"/>
              </w:rPr>
            </w:pPr>
          </w:p>
        </w:tc>
      </w:tr>
      <w:tr w:rsidR="008F36F6" w:rsidRPr="00D82BE1" w:rsidTr="00087BC1">
        <w:trPr>
          <w:trHeight w:val="445"/>
        </w:trPr>
        <w:tc>
          <w:tcPr>
            <w:tcW w:w="1384" w:type="dxa"/>
            <w:vAlign w:val="center"/>
          </w:tcPr>
          <w:p w:rsidR="008F36F6" w:rsidRPr="00BC5247" w:rsidRDefault="008F36F6" w:rsidP="008F36F6">
            <w:pPr>
              <w:jc w:val="center"/>
              <w:rPr>
                <w:b/>
                <w:szCs w:val="24"/>
                <w:lang w:val="en-US"/>
              </w:rPr>
            </w:pPr>
            <w:r w:rsidRPr="00BC5247">
              <w:rPr>
                <w:b/>
                <w:szCs w:val="24"/>
                <w:lang w:val="en-US"/>
              </w:rPr>
              <w:t>TOTAL</w:t>
            </w:r>
          </w:p>
        </w:tc>
        <w:tc>
          <w:tcPr>
            <w:tcW w:w="4961" w:type="dxa"/>
            <w:vAlign w:val="center"/>
          </w:tcPr>
          <w:p w:rsidR="008F36F6" w:rsidRPr="00BC5247" w:rsidRDefault="008F36F6" w:rsidP="008F36F6">
            <w:pPr>
              <w:jc w:val="left"/>
              <w:rPr>
                <w:b/>
                <w:szCs w:val="24"/>
                <w:lang w:val="en-US"/>
              </w:rPr>
            </w:pPr>
          </w:p>
        </w:tc>
        <w:tc>
          <w:tcPr>
            <w:tcW w:w="1701" w:type="dxa"/>
            <w:vAlign w:val="center"/>
          </w:tcPr>
          <w:p w:rsidR="008F36F6" w:rsidRPr="00BC5247" w:rsidRDefault="008F36F6" w:rsidP="008F36F6">
            <w:pPr>
              <w:jc w:val="left"/>
              <w:rPr>
                <w:b/>
                <w:szCs w:val="24"/>
              </w:rPr>
            </w:pPr>
          </w:p>
        </w:tc>
        <w:tc>
          <w:tcPr>
            <w:tcW w:w="1310" w:type="dxa"/>
            <w:vAlign w:val="center"/>
          </w:tcPr>
          <w:p w:rsidR="008F36F6" w:rsidRPr="00BC5247" w:rsidRDefault="008F36F6" w:rsidP="008F36F6">
            <w:pPr>
              <w:jc w:val="center"/>
              <w:rPr>
                <w:b/>
                <w:szCs w:val="24"/>
              </w:rPr>
            </w:pPr>
          </w:p>
        </w:tc>
      </w:tr>
    </w:tbl>
    <w:p w:rsidR="008F36F6" w:rsidRPr="008E673D" w:rsidRDefault="008F36F6" w:rsidP="008E673D">
      <w:pPr>
        <w:tabs>
          <w:tab w:val="left" w:pos="1134"/>
          <w:tab w:val="left" w:pos="5760"/>
        </w:tabs>
        <w:jc w:val="center"/>
        <w:rPr>
          <w:b/>
          <w:bCs/>
          <w:i/>
          <w:szCs w:val="24"/>
        </w:rPr>
      </w:pPr>
      <w:r w:rsidRPr="00D17665">
        <w:rPr>
          <w:b/>
          <w:bCs/>
          <w:i/>
          <w:szCs w:val="24"/>
        </w:rPr>
        <w:t xml:space="preserve"> </w:t>
      </w:r>
      <w:r w:rsidR="00D17665" w:rsidRPr="00D17665">
        <w:rPr>
          <w:b/>
          <w:bCs/>
          <w:i/>
          <w:szCs w:val="24"/>
        </w:rPr>
        <w:t xml:space="preserve">Table of </w:t>
      </w:r>
      <w:r w:rsidR="00D17665">
        <w:rPr>
          <w:b/>
          <w:bCs/>
          <w:i/>
          <w:szCs w:val="24"/>
        </w:rPr>
        <w:t>D</w:t>
      </w:r>
      <w:r w:rsidR="00D17665" w:rsidRPr="00D17665">
        <w:rPr>
          <w:b/>
          <w:bCs/>
          <w:i/>
          <w:szCs w:val="24"/>
        </w:rPr>
        <w:t>eliverables</w:t>
      </w:r>
    </w:p>
    <w:p w:rsidR="00CA65E7" w:rsidRDefault="00CA65E7" w:rsidP="00B45829">
      <w:pPr>
        <w:tabs>
          <w:tab w:val="left" w:pos="1134"/>
          <w:tab w:val="left" w:pos="5760"/>
        </w:tabs>
        <w:rPr>
          <w:bCs/>
          <w:szCs w:val="24"/>
        </w:rPr>
      </w:pPr>
    </w:p>
    <w:p w:rsidR="00CA65E7" w:rsidRPr="00CA65E7" w:rsidRDefault="00CA65E7" w:rsidP="00CA65E7">
      <w:pPr>
        <w:tabs>
          <w:tab w:val="left" w:pos="1134"/>
          <w:tab w:val="left" w:pos="5760"/>
        </w:tabs>
        <w:rPr>
          <w:bCs/>
          <w:szCs w:val="24"/>
        </w:rPr>
      </w:pPr>
      <w:r w:rsidRPr="00CA65E7">
        <w:rPr>
          <w:bCs/>
          <w:szCs w:val="24"/>
        </w:rPr>
        <w:t xml:space="preserve">In addition to completing this financial template please provide your own version of a technical offer / quality plan containing details of how you would propose to carry out this work in accordance with the technical specification </w:t>
      </w:r>
      <w:r w:rsidRPr="00CA65E7">
        <w:rPr>
          <w:bCs/>
          <w:szCs w:val="24"/>
          <w:lang w:val="en-US"/>
        </w:rPr>
        <w:t>ITER_D_</w:t>
      </w:r>
      <w:r w:rsidRPr="00CA65E7">
        <w:rPr>
          <w:rFonts w:ascii="TimesNewRomanPS-BoldMT" w:eastAsiaTheme="minorHAnsi" w:hAnsi="TimesNewRomanPS-BoldMT" w:cs="TimesNewRomanPS-BoldMT"/>
          <w:bCs/>
          <w:sz w:val="28"/>
          <w:szCs w:val="28"/>
        </w:rPr>
        <w:t xml:space="preserve"> </w:t>
      </w:r>
      <w:r w:rsidRPr="00CA65E7">
        <w:rPr>
          <w:bCs/>
          <w:szCs w:val="24"/>
        </w:rPr>
        <w:t>SQNAXV</w:t>
      </w:r>
      <w:r w:rsidRPr="00CA65E7">
        <w:rPr>
          <w:bCs/>
          <w:szCs w:val="24"/>
          <w:lang w:val="en-US"/>
        </w:rPr>
        <w:t xml:space="preserve"> v</w:t>
      </w:r>
      <w:r>
        <w:rPr>
          <w:bCs/>
          <w:szCs w:val="24"/>
          <w:lang w:val="en-US"/>
        </w:rPr>
        <w:t>1.2</w:t>
      </w:r>
      <w:r w:rsidRPr="00CA65E7">
        <w:rPr>
          <w:bCs/>
          <w:szCs w:val="24"/>
          <w:lang w:val="en-US"/>
        </w:rPr>
        <w:t xml:space="preserve"> </w:t>
      </w:r>
      <w:r w:rsidRPr="00CA65E7">
        <w:rPr>
          <w:bCs/>
          <w:szCs w:val="24"/>
        </w:rPr>
        <w:t xml:space="preserve">Annex II. </w:t>
      </w:r>
    </w:p>
    <w:p w:rsidR="00CA65E7" w:rsidRPr="00CA65E7" w:rsidRDefault="00CA65E7" w:rsidP="00CA65E7">
      <w:pPr>
        <w:tabs>
          <w:tab w:val="left" w:pos="1134"/>
          <w:tab w:val="left" w:pos="5760"/>
        </w:tabs>
        <w:rPr>
          <w:b/>
          <w:bCs/>
          <w:szCs w:val="24"/>
        </w:rPr>
      </w:pPr>
    </w:p>
    <w:p w:rsidR="00CA65E7" w:rsidRPr="00CA65E7" w:rsidRDefault="00CA65E7" w:rsidP="00CA65E7">
      <w:pPr>
        <w:tabs>
          <w:tab w:val="left" w:pos="1134"/>
          <w:tab w:val="left" w:pos="5760"/>
        </w:tabs>
        <w:rPr>
          <w:b/>
          <w:bCs/>
          <w:szCs w:val="24"/>
        </w:rPr>
      </w:pPr>
      <w:r w:rsidRPr="00CA65E7">
        <w:rPr>
          <w:b/>
          <w:bCs/>
          <w:szCs w:val="24"/>
        </w:rPr>
        <w:t>Suggested payment schedule</w:t>
      </w:r>
    </w:p>
    <w:p w:rsidR="00CA65E7" w:rsidRPr="00CA65E7" w:rsidRDefault="00CA65E7" w:rsidP="00CA65E7">
      <w:pPr>
        <w:tabs>
          <w:tab w:val="left" w:pos="1134"/>
          <w:tab w:val="left" w:pos="5760"/>
        </w:tabs>
        <w:rPr>
          <w:bCs/>
          <w:szCs w:val="24"/>
        </w:rPr>
      </w:pPr>
      <w:r w:rsidRPr="00CA65E7">
        <w:rPr>
          <w:bCs/>
          <w:szCs w:val="24"/>
        </w:rPr>
        <w:t xml:space="preserve">Invoices may be submitted for payment upon the satisfactory completion of the deliverables as stated in the table above. Payments will be made following the acceptance and approval by </w:t>
      </w:r>
      <w:r w:rsidRPr="00CA65E7">
        <w:rPr>
          <w:bCs/>
          <w:szCs w:val="24"/>
        </w:rPr>
        <w:lastRenderedPageBreak/>
        <w:t>the IO responsible officer of the corresponding deliverable in accordance with the technical specification ITER_D_</w:t>
      </w:r>
      <w:r w:rsidRPr="00CA65E7">
        <w:rPr>
          <w:bCs/>
          <w:szCs w:val="24"/>
          <w:lang w:val="en-US"/>
        </w:rPr>
        <w:t xml:space="preserve"> </w:t>
      </w:r>
      <w:r w:rsidRPr="00CA65E7">
        <w:rPr>
          <w:bCs/>
          <w:szCs w:val="24"/>
        </w:rPr>
        <w:t>SQNAXV</w:t>
      </w:r>
      <w:r w:rsidRPr="00CA65E7">
        <w:rPr>
          <w:bCs/>
          <w:szCs w:val="24"/>
          <w:lang w:val="en-US"/>
        </w:rPr>
        <w:t xml:space="preserve"> v1.2</w:t>
      </w:r>
      <w:r>
        <w:rPr>
          <w:bCs/>
          <w:szCs w:val="24"/>
          <w:lang w:val="en-US"/>
        </w:rPr>
        <w:t xml:space="preserve"> </w:t>
      </w:r>
      <w:r w:rsidRPr="00CA65E7">
        <w:rPr>
          <w:bCs/>
          <w:szCs w:val="24"/>
        </w:rPr>
        <w:t xml:space="preserve">and upon receipt of a correctly rendered invoice. </w:t>
      </w:r>
    </w:p>
    <w:p w:rsidR="00CA65E7" w:rsidRDefault="00CA65E7" w:rsidP="00CA65E7">
      <w:pPr>
        <w:tabs>
          <w:tab w:val="left" w:pos="1134"/>
          <w:tab w:val="left" w:pos="5760"/>
        </w:tabs>
        <w:rPr>
          <w:bCs/>
          <w:szCs w:val="24"/>
        </w:rPr>
      </w:pPr>
      <w:r w:rsidRPr="00CA65E7">
        <w:rPr>
          <w:bCs/>
          <w:szCs w:val="24"/>
        </w:rPr>
        <w:t>Suggestions for an alternative payment schedule may be made by the bidder.</w:t>
      </w:r>
    </w:p>
    <w:p w:rsidR="00CA65E7" w:rsidRDefault="00CA65E7" w:rsidP="00B45829">
      <w:pPr>
        <w:tabs>
          <w:tab w:val="left" w:pos="1134"/>
          <w:tab w:val="left" w:pos="5760"/>
        </w:tabs>
        <w:rPr>
          <w:bCs/>
          <w:szCs w:val="24"/>
        </w:rPr>
      </w:pPr>
    </w:p>
    <w:p w:rsidR="00D17665" w:rsidRDefault="00A23B32" w:rsidP="00B45829">
      <w:pPr>
        <w:tabs>
          <w:tab w:val="left" w:pos="1134"/>
          <w:tab w:val="left" w:pos="5760"/>
        </w:tabs>
        <w:rPr>
          <w:bCs/>
          <w:szCs w:val="24"/>
        </w:rPr>
      </w:pPr>
      <w:r>
        <w:rPr>
          <w:bCs/>
          <w:szCs w:val="24"/>
        </w:rPr>
        <w:t>Date</w:t>
      </w:r>
    </w:p>
    <w:p w:rsidR="00A23B32" w:rsidRDefault="00A23B32" w:rsidP="00B45829">
      <w:pPr>
        <w:tabs>
          <w:tab w:val="left" w:pos="1134"/>
          <w:tab w:val="left" w:pos="5760"/>
        </w:tabs>
        <w:rPr>
          <w:bCs/>
          <w:szCs w:val="24"/>
        </w:rPr>
      </w:pPr>
    </w:p>
    <w:p w:rsidR="00A23B32" w:rsidRDefault="00A23B32" w:rsidP="00B45829">
      <w:pPr>
        <w:tabs>
          <w:tab w:val="left" w:pos="1134"/>
          <w:tab w:val="left" w:pos="5760"/>
        </w:tabs>
        <w:rPr>
          <w:bCs/>
          <w:szCs w:val="24"/>
        </w:rPr>
      </w:pPr>
    </w:p>
    <w:p w:rsidR="008F36F6" w:rsidRDefault="008F36F6" w:rsidP="00B45829">
      <w:pPr>
        <w:tabs>
          <w:tab w:val="left" w:pos="1134"/>
          <w:tab w:val="left" w:pos="5760"/>
        </w:tabs>
        <w:rPr>
          <w:bCs/>
          <w:szCs w:val="24"/>
        </w:rPr>
      </w:pPr>
    </w:p>
    <w:p w:rsidR="00A23B32" w:rsidRDefault="00A23B32" w:rsidP="00B45829">
      <w:pPr>
        <w:tabs>
          <w:tab w:val="left" w:pos="1134"/>
          <w:tab w:val="left" w:pos="5760"/>
        </w:tabs>
        <w:rPr>
          <w:bCs/>
          <w:szCs w:val="24"/>
        </w:rPr>
      </w:pPr>
      <w:r>
        <w:rPr>
          <w:bCs/>
          <w:szCs w:val="24"/>
        </w:rPr>
        <w:t>Signature</w:t>
      </w:r>
    </w:p>
    <w:p w:rsidR="00D17665" w:rsidRDefault="00D17665" w:rsidP="00B45829">
      <w:pPr>
        <w:tabs>
          <w:tab w:val="left" w:pos="1134"/>
          <w:tab w:val="left" w:pos="5760"/>
        </w:tabs>
        <w:rPr>
          <w:bCs/>
          <w:szCs w:val="24"/>
        </w:rPr>
      </w:pPr>
    </w:p>
    <w:p w:rsidR="00CA65E7" w:rsidRDefault="00CA65E7">
      <w:pPr>
        <w:spacing w:after="200" w:line="276" w:lineRule="auto"/>
        <w:jc w:val="left"/>
        <w:rPr>
          <w:bCs/>
          <w:szCs w:val="24"/>
        </w:rPr>
      </w:pPr>
      <w:r>
        <w:rPr>
          <w:bCs/>
          <w:szCs w:val="24"/>
        </w:rPr>
        <w:br w:type="page"/>
      </w:r>
    </w:p>
    <w:p w:rsidR="007D2A2C" w:rsidRDefault="007D2A2C" w:rsidP="007D2A2C">
      <w:pPr>
        <w:tabs>
          <w:tab w:val="left" w:pos="2700"/>
        </w:tabs>
        <w:rPr>
          <w:bCs/>
          <w:szCs w:val="24"/>
        </w:rPr>
      </w:pPr>
    </w:p>
    <w:p w:rsidR="00D17665" w:rsidRPr="00D17665" w:rsidRDefault="00D17665" w:rsidP="007D2A2C">
      <w:pPr>
        <w:tabs>
          <w:tab w:val="left" w:pos="2700"/>
        </w:tabs>
        <w:jc w:val="center"/>
        <w:rPr>
          <w:rFonts w:eastAsia="Times New Roman"/>
          <w:b/>
          <w:bCs/>
          <w:szCs w:val="24"/>
          <w:lang w:eastAsia="en-GB"/>
        </w:rPr>
      </w:pPr>
      <w:bookmarkStart w:id="0" w:name="_GoBack"/>
      <w:bookmarkEnd w:id="0"/>
      <w:r w:rsidRPr="00D17665">
        <w:rPr>
          <w:rFonts w:eastAsia="Times New Roman"/>
          <w:b/>
          <w:bCs/>
          <w:szCs w:val="24"/>
          <w:lang w:eastAsia="en-GB"/>
        </w:rPr>
        <w:t>COST BREAKDOWN</w:t>
      </w:r>
    </w:p>
    <w:p w:rsidR="00D17665" w:rsidRPr="008F747C" w:rsidRDefault="00AC4217" w:rsidP="00D17665">
      <w:pPr>
        <w:spacing w:before="120" w:after="120"/>
        <w:ind w:left="-147"/>
        <w:rPr>
          <w:rFonts w:eastAsia="Times New Roman"/>
          <w:szCs w:val="24"/>
          <w:lang w:eastAsia="en-GB"/>
        </w:rPr>
      </w:pPr>
      <w:r w:rsidRPr="00AC4217">
        <w:rPr>
          <w:rFonts w:eastAsia="Times New Roman"/>
          <w:szCs w:val="24"/>
          <w:lang w:eastAsia="en-GB"/>
        </w:rPr>
        <w:t xml:space="preserve">In addition to providing your total fixed price for the deliverables in the table above, please could you also provide your estimated cost breakdown, number of personnel and the time frames for completing each deliverable as indicated in the table below. Please note that all costs must include all expenses that are necessary to deliver the services including travel, accommodation, daily subsistence allowances and any other conceivable expenses that are required to successfully complete the work. The table below is an example, thus you may provide your own version or expand on the table below.  </w:t>
      </w:r>
      <w:r w:rsidR="00D17665" w:rsidRPr="008F747C">
        <w:rPr>
          <w:rFonts w:eastAsia="Times New Roman"/>
          <w:szCs w:val="24"/>
          <w:lang w:eastAsia="en-GB"/>
        </w:rPr>
        <w:t xml:space="preserve">. </w:t>
      </w:r>
    </w:p>
    <w:p w:rsidR="00D17665" w:rsidRPr="008F747C" w:rsidRDefault="00D17665" w:rsidP="00D17665">
      <w:pPr>
        <w:tabs>
          <w:tab w:val="left" w:pos="1134"/>
          <w:tab w:val="left" w:pos="5760"/>
        </w:tabs>
        <w:jc w:val="center"/>
        <w:rPr>
          <w:b/>
          <w:bCs/>
          <w:szCs w:val="24"/>
        </w:rPr>
      </w:pPr>
    </w:p>
    <w:p w:rsidR="00D17665" w:rsidRDefault="00D17665" w:rsidP="00D17665">
      <w:pPr>
        <w:tabs>
          <w:tab w:val="left" w:pos="1134"/>
          <w:tab w:val="left" w:pos="5760"/>
        </w:tabs>
        <w:jc w:val="center"/>
        <w:rPr>
          <w:b/>
          <w:bCs/>
          <w:i/>
          <w:szCs w:val="24"/>
        </w:rPr>
      </w:pPr>
      <w:r w:rsidRPr="008F747C">
        <w:rPr>
          <w:b/>
          <w:bCs/>
          <w:i/>
          <w:szCs w:val="24"/>
        </w:rPr>
        <w:t>Cost Breakdown Table</w:t>
      </w:r>
      <w:r w:rsidR="008F747C" w:rsidRPr="008F747C">
        <w:rPr>
          <w:b/>
          <w:bCs/>
          <w:i/>
          <w:szCs w:val="24"/>
        </w:rPr>
        <w:t xml:space="preserve"> </w:t>
      </w:r>
    </w:p>
    <w:p w:rsidR="00AC4217" w:rsidRDefault="00AC4217" w:rsidP="00D17665">
      <w:pPr>
        <w:tabs>
          <w:tab w:val="left" w:pos="1134"/>
          <w:tab w:val="left" w:pos="5760"/>
        </w:tabs>
        <w:jc w:val="center"/>
        <w:rPr>
          <w:b/>
          <w:bCs/>
          <w:i/>
          <w:szCs w:val="24"/>
        </w:rPr>
      </w:pPr>
    </w:p>
    <w:tbl>
      <w:tblPr>
        <w:tblStyle w:val="TableGrid12"/>
        <w:tblpPr w:leftFromText="180" w:rightFromText="180" w:vertAnchor="text" w:horzAnchor="margin" w:tblpXSpec="center" w:tblpY="330"/>
        <w:tblW w:w="9038" w:type="dxa"/>
        <w:tblLayout w:type="fixed"/>
        <w:tblLook w:val="04A0" w:firstRow="1" w:lastRow="0" w:firstColumn="1" w:lastColumn="0" w:noHBand="0" w:noVBand="1"/>
      </w:tblPr>
      <w:tblGrid>
        <w:gridCol w:w="1101"/>
        <w:gridCol w:w="6520"/>
        <w:gridCol w:w="1417"/>
      </w:tblGrid>
      <w:tr w:rsidR="00CA65E7" w:rsidRPr="00CA65E7" w:rsidTr="00CA65E7">
        <w:trPr>
          <w:trHeight w:val="703"/>
        </w:trPr>
        <w:tc>
          <w:tcPr>
            <w:tcW w:w="1101" w:type="dxa"/>
            <w:vAlign w:val="center"/>
          </w:tcPr>
          <w:p w:rsidR="00CA65E7" w:rsidRPr="00CA65E7" w:rsidRDefault="00CA65E7" w:rsidP="00CA65E7">
            <w:pPr>
              <w:spacing w:line="280" w:lineRule="exact"/>
              <w:jc w:val="center"/>
              <w:rPr>
                <w:rFonts w:eastAsia="Calibri" w:cstheme="minorBidi"/>
                <w:b/>
                <w:sz w:val="22"/>
                <w:szCs w:val="22"/>
                <w:lang w:val="en-US"/>
              </w:rPr>
            </w:pPr>
            <w:r w:rsidRPr="00CA65E7">
              <w:rPr>
                <w:rFonts w:eastAsia="Calibri" w:cstheme="minorBidi"/>
                <w:b/>
                <w:sz w:val="22"/>
                <w:szCs w:val="22"/>
                <w:lang w:val="en-US"/>
              </w:rPr>
              <w:t>D #</w:t>
            </w:r>
          </w:p>
        </w:tc>
        <w:tc>
          <w:tcPr>
            <w:tcW w:w="6520" w:type="dxa"/>
            <w:vAlign w:val="center"/>
          </w:tcPr>
          <w:p w:rsidR="00CA65E7" w:rsidRPr="00CA65E7" w:rsidRDefault="00CA65E7" w:rsidP="00CA65E7">
            <w:pPr>
              <w:spacing w:line="280" w:lineRule="exact"/>
              <w:jc w:val="center"/>
              <w:rPr>
                <w:rFonts w:eastAsia="Calibri" w:cstheme="minorBidi"/>
                <w:b/>
                <w:sz w:val="22"/>
                <w:szCs w:val="22"/>
                <w:lang w:val="en-US"/>
              </w:rPr>
            </w:pPr>
            <w:r w:rsidRPr="00CA65E7">
              <w:rPr>
                <w:rFonts w:eastAsia="Calibri" w:cstheme="minorBidi"/>
                <w:b/>
                <w:sz w:val="22"/>
                <w:szCs w:val="22"/>
                <w:lang w:val="en-US"/>
              </w:rPr>
              <w:t>Description, and number of Resources</w:t>
            </w:r>
          </w:p>
        </w:tc>
        <w:tc>
          <w:tcPr>
            <w:tcW w:w="1417" w:type="dxa"/>
            <w:vAlign w:val="center"/>
          </w:tcPr>
          <w:p w:rsidR="00CA65E7" w:rsidRPr="00CA65E7" w:rsidRDefault="00CA65E7" w:rsidP="00CA65E7">
            <w:pPr>
              <w:spacing w:line="280" w:lineRule="exact"/>
              <w:jc w:val="center"/>
              <w:rPr>
                <w:rFonts w:eastAsia="Calibri" w:cstheme="minorBidi"/>
                <w:b/>
                <w:bCs/>
                <w:szCs w:val="24"/>
                <w:lang w:val="en-US"/>
              </w:rPr>
            </w:pPr>
            <w:r w:rsidRPr="00CA65E7">
              <w:rPr>
                <w:rFonts w:eastAsia="Calibri" w:cstheme="minorBidi"/>
                <w:b/>
                <w:bCs/>
                <w:szCs w:val="24"/>
                <w:lang w:val="en-US"/>
              </w:rPr>
              <w:t>Cost (EUR)</w:t>
            </w:r>
          </w:p>
        </w:tc>
      </w:tr>
      <w:tr w:rsidR="00CA65E7" w:rsidRPr="00CA65E7" w:rsidTr="00CA65E7">
        <w:trPr>
          <w:trHeight w:val="406"/>
        </w:trPr>
        <w:tc>
          <w:tcPr>
            <w:tcW w:w="1101" w:type="dxa"/>
            <w:tcBorders>
              <w:bottom w:val="single" w:sz="4" w:space="0" w:color="auto"/>
            </w:tcBorders>
          </w:tcPr>
          <w:p w:rsidR="00CA65E7" w:rsidRPr="00F56686" w:rsidRDefault="00CA65E7" w:rsidP="00813CE5">
            <w:r w:rsidRPr="00F56686">
              <w:t>1.1.1</w:t>
            </w:r>
          </w:p>
        </w:tc>
        <w:tc>
          <w:tcPr>
            <w:tcW w:w="6520" w:type="dxa"/>
            <w:vAlign w:val="center"/>
          </w:tcPr>
          <w:p w:rsidR="00CA65E7" w:rsidRPr="00CA65E7" w:rsidRDefault="00CA65E7" w:rsidP="00CA65E7">
            <w:pPr>
              <w:spacing w:line="280" w:lineRule="exact"/>
              <w:jc w:val="center"/>
              <w:rPr>
                <w:rFonts w:eastAsia="Calibri" w:cstheme="minorBidi"/>
                <w:sz w:val="22"/>
                <w:szCs w:val="22"/>
                <w:lang w:val="en-US"/>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2"/>
        </w:trPr>
        <w:tc>
          <w:tcPr>
            <w:tcW w:w="1101" w:type="dxa"/>
            <w:tcBorders>
              <w:bottom w:val="single" w:sz="4" w:space="0" w:color="auto"/>
            </w:tcBorders>
          </w:tcPr>
          <w:p w:rsidR="00CA65E7" w:rsidRPr="00F56686" w:rsidRDefault="00CA65E7" w:rsidP="00813CE5">
            <w:r w:rsidRPr="00F56686">
              <w:t>1.2.1</w:t>
            </w:r>
          </w:p>
        </w:tc>
        <w:tc>
          <w:tcPr>
            <w:tcW w:w="6520" w:type="dxa"/>
            <w:vAlign w:val="center"/>
          </w:tcPr>
          <w:p w:rsidR="00CA65E7" w:rsidRPr="00CA65E7" w:rsidRDefault="00CA65E7" w:rsidP="00CA65E7">
            <w:pPr>
              <w:spacing w:line="280" w:lineRule="exact"/>
              <w:jc w:val="center"/>
              <w:rPr>
                <w:rFonts w:eastAsia="Calibri" w:cstheme="minorBidi"/>
                <w:sz w:val="22"/>
                <w:szCs w:val="22"/>
                <w:lang w:val="en-US"/>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8"/>
        </w:trPr>
        <w:tc>
          <w:tcPr>
            <w:tcW w:w="1101" w:type="dxa"/>
            <w:tcBorders>
              <w:bottom w:val="single" w:sz="4" w:space="0" w:color="auto"/>
            </w:tcBorders>
          </w:tcPr>
          <w:p w:rsidR="00CA65E7" w:rsidRPr="00F56686" w:rsidRDefault="00CA65E7" w:rsidP="00813CE5">
            <w:r w:rsidRPr="00F56686">
              <w:t>1.2.2</w:t>
            </w:r>
          </w:p>
        </w:tc>
        <w:tc>
          <w:tcPr>
            <w:tcW w:w="6520" w:type="dxa"/>
            <w:vAlign w:val="center"/>
          </w:tcPr>
          <w:p w:rsidR="00CA65E7" w:rsidRPr="00CA65E7" w:rsidRDefault="00CA65E7" w:rsidP="00CA65E7">
            <w:pPr>
              <w:spacing w:line="280" w:lineRule="exact"/>
              <w:jc w:val="center"/>
              <w:rPr>
                <w:rFonts w:eastAsia="Calibri" w:cstheme="minorBidi"/>
                <w:sz w:val="22"/>
                <w:szCs w:val="22"/>
                <w:lang w:val="en-US"/>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1.2.3</w:t>
            </w:r>
          </w:p>
        </w:tc>
        <w:tc>
          <w:tcPr>
            <w:tcW w:w="6520" w:type="dxa"/>
            <w:vAlign w:val="center"/>
          </w:tcPr>
          <w:p w:rsidR="00CA65E7" w:rsidRPr="00CA65E7" w:rsidRDefault="00CA65E7" w:rsidP="00CA65E7">
            <w:pPr>
              <w:spacing w:line="280" w:lineRule="exact"/>
              <w:jc w:val="center"/>
              <w:rPr>
                <w:rFonts w:eastAsia="Calibri" w:cstheme="minorBidi"/>
                <w:sz w:val="22"/>
                <w:szCs w:val="22"/>
                <w:lang w:val="en-US"/>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2.1.1</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2.2.1</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2.2.2</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2.2.3</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2.2.4</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2.2.5</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2.2.6</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2.2.7</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Pr="00F56686" w:rsidRDefault="00CA65E7" w:rsidP="00813CE5">
            <w:r w:rsidRPr="00F56686">
              <w:t>2.2.8</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10"/>
        </w:trPr>
        <w:tc>
          <w:tcPr>
            <w:tcW w:w="1101" w:type="dxa"/>
            <w:tcBorders>
              <w:bottom w:val="single" w:sz="4" w:space="0" w:color="auto"/>
            </w:tcBorders>
          </w:tcPr>
          <w:p w:rsidR="00CA65E7" w:rsidRDefault="00CA65E7" w:rsidP="00813CE5">
            <w:r w:rsidRPr="00F56686">
              <w:t>2.2.9</w:t>
            </w:r>
          </w:p>
        </w:tc>
        <w:tc>
          <w:tcPr>
            <w:tcW w:w="6520" w:type="dxa"/>
            <w:vAlign w:val="center"/>
          </w:tcPr>
          <w:p w:rsidR="00CA65E7" w:rsidRPr="00CA65E7" w:rsidRDefault="00CA65E7" w:rsidP="00CA65E7">
            <w:pPr>
              <w:spacing w:line="280" w:lineRule="exact"/>
              <w:jc w:val="center"/>
              <w:rPr>
                <w:rFonts w:eastAsia="Calibri" w:cstheme="minorBidi"/>
                <w:sz w:val="22"/>
                <w:szCs w:val="22"/>
              </w:rPr>
            </w:pPr>
          </w:p>
        </w:tc>
        <w:tc>
          <w:tcPr>
            <w:tcW w:w="1417" w:type="dxa"/>
            <w:vAlign w:val="center"/>
          </w:tcPr>
          <w:p w:rsidR="00CA65E7" w:rsidRPr="00CA65E7" w:rsidRDefault="00CA65E7" w:rsidP="00CA65E7">
            <w:pPr>
              <w:spacing w:line="280" w:lineRule="exact"/>
              <w:rPr>
                <w:rFonts w:eastAsia="Calibri" w:cstheme="minorBidi"/>
                <w:sz w:val="22"/>
                <w:szCs w:val="22"/>
                <w:lang w:val="en-US"/>
              </w:rPr>
            </w:pPr>
          </w:p>
        </w:tc>
      </w:tr>
      <w:tr w:rsidR="00CA65E7" w:rsidRPr="00CA65E7" w:rsidTr="00CA65E7">
        <w:trPr>
          <w:trHeight w:val="487"/>
        </w:trPr>
        <w:tc>
          <w:tcPr>
            <w:tcW w:w="1101" w:type="dxa"/>
            <w:shd w:val="clear" w:color="auto" w:fill="D9D9D9" w:themeFill="background1" w:themeFillShade="D9"/>
            <w:vAlign w:val="bottom"/>
          </w:tcPr>
          <w:p w:rsidR="00CA65E7" w:rsidRPr="00CA65E7" w:rsidRDefault="00CA65E7" w:rsidP="00CA65E7">
            <w:pPr>
              <w:spacing w:line="280" w:lineRule="exact"/>
              <w:jc w:val="center"/>
              <w:rPr>
                <w:rFonts w:ascii="Calibri" w:eastAsia="Calibri" w:hAnsi="Calibri" w:cstheme="minorBidi"/>
                <w:sz w:val="22"/>
                <w:szCs w:val="22"/>
                <w:lang w:val="en-US"/>
              </w:rPr>
            </w:pPr>
          </w:p>
        </w:tc>
        <w:tc>
          <w:tcPr>
            <w:tcW w:w="6520" w:type="dxa"/>
            <w:vAlign w:val="center"/>
          </w:tcPr>
          <w:p w:rsidR="00CA65E7" w:rsidRPr="00CA65E7" w:rsidRDefault="00CA65E7" w:rsidP="00CA65E7">
            <w:pPr>
              <w:spacing w:line="280" w:lineRule="exact"/>
              <w:jc w:val="center"/>
              <w:rPr>
                <w:rFonts w:eastAsia="Calibri"/>
                <w:b/>
                <w:szCs w:val="24"/>
                <w:lang w:val="en-US"/>
              </w:rPr>
            </w:pPr>
            <w:r w:rsidRPr="00CA65E7">
              <w:rPr>
                <w:rFonts w:eastAsia="Calibri"/>
                <w:b/>
                <w:szCs w:val="24"/>
                <w:lang w:val="en-US"/>
              </w:rPr>
              <w:t>TOTAL COST (EUR)</w:t>
            </w:r>
          </w:p>
        </w:tc>
        <w:tc>
          <w:tcPr>
            <w:tcW w:w="1417" w:type="dxa"/>
            <w:vAlign w:val="center"/>
          </w:tcPr>
          <w:p w:rsidR="00CA65E7" w:rsidRPr="00CA65E7" w:rsidRDefault="00CA65E7" w:rsidP="00CA65E7">
            <w:pPr>
              <w:spacing w:line="280" w:lineRule="exact"/>
              <w:jc w:val="center"/>
              <w:rPr>
                <w:rFonts w:ascii="Garamond" w:eastAsia="Calibri" w:hAnsi="Garamond" w:cs="Arial"/>
                <w:b/>
                <w:szCs w:val="24"/>
                <w:lang w:val="en-US"/>
              </w:rPr>
            </w:pPr>
          </w:p>
        </w:tc>
      </w:tr>
    </w:tbl>
    <w:p w:rsidR="00CA65E7" w:rsidRPr="00CA65E7" w:rsidRDefault="00CA65E7" w:rsidP="00D17665">
      <w:pPr>
        <w:tabs>
          <w:tab w:val="left" w:pos="1134"/>
          <w:tab w:val="left" w:pos="5760"/>
        </w:tabs>
        <w:jc w:val="center"/>
        <w:rPr>
          <w:b/>
          <w:bCs/>
          <w:szCs w:val="24"/>
        </w:rPr>
      </w:pPr>
    </w:p>
    <w:p w:rsidR="00CA65E7" w:rsidRDefault="00CA65E7" w:rsidP="00D17665">
      <w:pPr>
        <w:tabs>
          <w:tab w:val="left" w:pos="1134"/>
          <w:tab w:val="left" w:pos="5760"/>
        </w:tabs>
        <w:jc w:val="center"/>
        <w:rPr>
          <w:b/>
          <w:bCs/>
          <w:i/>
          <w:szCs w:val="24"/>
        </w:rPr>
      </w:pPr>
    </w:p>
    <w:p w:rsidR="00CA65E7" w:rsidRDefault="00CA65E7" w:rsidP="00D17665">
      <w:pPr>
        <w:tabs>
          <w:tab w:val="left" w:pos="1134"/>
          <w:tab w:val="left" w:pos="5760"/>
        </w:tabs>
        <w:jc w:val="center"/>
        <w:rPr>
          <w:b/>
          <w:bCs/>
          <w:i/>
          <w:szCs w:val="24"/>
        </w:rPr>
      </w:pPr>
    </w:p>
    <w:p w:rsidR="00AC4217" w:rsidRPr="008F747C" w:rsidRDefault="00AC4217" w:rsidP="00D17665">
      <w:pPr>
        <w:tabs>
          <w:tab w:val="left" w:pos="1134"/>
          <w:tab w:val="left" w:pos="5760"/>
        </w:tabs>
        <w:jc w:val="center"/>
        <w:rPr>
          <w:b/>
          <w:bCs/>
          <w:i/>
          <w:szCs w:val="24"/>
        </w:rPr>
      </w:pPr>
    </w:p>
    <w:p w:rsidR="007D2A2C" w:rsidRDefault="007D2A2C" w:rsidP="00BF6074">
      <w:pPr>
        <w:spacing w:before="120"/>
      </w:pPr>
    </w:p>
    <w:p w:rsidR="00AC4217" w:rsidRDefault="00AC4217" w:rsidP="00BF6074">
      <w:pPr>
        <w:spacing w:before="120"/>
      </w:pPr>
      <w:r w:rsidRPr="00AC4217">
        <w:t xml:space="preserve">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w:t>
      </w:r>
      <w:r w:rsidRPr="00AC4217">
        <w:lastRenderedPageBreak/>
        <w:t>services in the course of the execution of this Contract. The ownership of any background intellectual property will not change unless otherwise agreed by the ITER Organization and the Contractor</w:t>
      </w:r>
    </w:p>
    <w:p w:rsidR="00AC4217" w:rsidRDefault="00AC4217" w:rsidP="00BF6074">
      <w:pPr>
        <w:spacing w:before="120"/>
      </w:pPr>
    </w:p>
    <w:p w:rsidR="00A23B32" w:rsidRPr="0036015F" w:rsidRDefault="00BF6074" w:rsidP="0036015F">
      <w:pPr>
        <w:spacing w:before="120"/>
        <w:rPr>
          <w:rFonts w:eastAsia="SimSun"/>
          <w:szCs w:val="24"/>
        </w:rPr>
      </w:pPr>
      <w:r w:rsidRPr="005A4237">
        <w:t>Date</w:t>
      </w:r>
      <w:r w:rsidR="007F44CC">
        <w:t>:</w:t>
      </w:r>
    </w:p>
    <w:p w:rsidR="008F671B" w:rsidRDefault="008F671B" w:rsidP="00BF6074">
      <w:pPr>
        <w:spacing w:before="240" w:after="120"/>
        <w:ind w:left="-142" w:firstLine="142"/>
      </w:pPr>
    </w:p>
    <w:p w:rsidR="008F671B" w:rsidRDefault="008F671B" w:rsidP="00BF6074">
      <w:pPr>
        <w:spacing w:before="240" w:after="120"/>
        <w:ind w:left="-142" w:firstLine="142"/>
      </w:pPr>
    </w:p>
    <w:p w:rsidR="00BF6074" w:rsidRPr="005A4237" w:rsidRDefault="00BF6074" w:rsidP="00BF6074">
      <w:pPr>
        <w:spacing w:before="240" w:after="120"/>
        <w:ind w:left="-142" w:firstLine="142"/>
        <w:rPr>
          <w:szCs w:val="24"/>
        </w:rPr>
      </w:pPr>
      <w:r w:rsidRPr="005A4237">
        <w:t>Signature</w:t>
      </w:r>
      <w:r w:rsidR="007F44CC">
        <w:t>:</w:t>
      </w:r>
    </w:p>
    <w:p w:rsidR="00BF6074" w:rsidRPr="00BF6074" w:rsidRDefault="00BF6074" w:rsidP="00D309D3"/>
    <w:sectPr w:rsidR="00BF6074" w:rsidRPr="00BF6074" w:rsidSect="00A23B32">
      <w:headerReference w:type="default" r:id="rId9"/>
      <w:footerReference w:type="default" r:id="rId10"/>
      <w:pgSz w:w="11906" w:h="16838"/>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60" w:rsidRDefault="00C11160" w:rsidP="00B45829">
      <w:r>
        <w:separator/>
      </w:r>
    </w:p>
  </w:endnote>
  <w:endnote w:type="continuationSeparator" w:id="0">
    <w:p w:rsidR="00C11160" w:rsidRDefault="00C11160" w:rsidP="00B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平成明朝">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4B" w:rsidRPr="002A3693" w:rsidRDefault="00A5154B" w:rsidP="002A3693">
    <w:pPr>
      <w:keepNext/>
      <w:jc w:val="center"/>
      <w:rPr>
        <w:b/>
        <w:szCs w:val="24"/>
        <w:lang w:eastAsia="en-GB"/>
      </w:rPr>
    </w:pPr>
    <w:r w:rsidRPr="00896FA3">
      <w:rPr>
        <w:b/>
        <w:szCs w:val="24"/>
        <w:lang w:eastAsia="en-GB"/>
      </w:rPr>
      <w:t>Financial Template</w:t>
    </w:r>
    <w:r>
      <w:rPr>
        <w:b/>
        <w:szCs w:val="24"/>
        <w:lang w:eastAsia="en-GB"/>
      </w:rPr>
      <w:t xml:space="preserve"> </w:t>
    </w:r>
  </w:p>
  <w:p w:rsidR="00A5154B" w:rsidRDefault="00A5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60" w:rsidRDefault="00C11160" w:rsidP="00B45829">
      <w:r>
        <w:separator/>
      </w:r>
    </w:p>
  </w:footnote>
  <w:footnote w:type="continuationSeparator" w:id="0">
    <w:p w:rsidR="00C11160" w:rsidRDefault="00C11160" w:rsidP="00B4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83" w:rsidRPr="00FC223F" w:rsidRDefault="008D056E" w:rsidP="00D82BE1">
    <w:pPr>
      <w:ind w:right="12"/>
      <w:jc w:val="center"/>
      <w:rPr>
        <w:b/>
        <w:bCs/>
        <w:sz w:val="20"/>
      </w:rPr>
    </w:pPr>
    <w:r w:rsidRPr="008D056E">
      <w:rPr>
        <w:b/>
        <w:bCs/>
        <w:i/>
        <w:sz w:val="32"/>
        <w:szCs w:val="32"/>
      </w:rPr>
      <w:t>Feeders and TF Coil Structures Inspection Expertise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75BE9916"/>
    <w:lvl w:ilvl="0">
      <w:start w:val="1"/>
      <w:numFmt w:val="decimal"/>
      <w:isLgl/>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nsid w:val="507A0F9C"/>
    <w:multiLevelType w:val="hybridMultilevel"/>
    <w:tmpl w:val="E744C652"/>
    <w:lvl w:ilvl="0" w:tplc="2D06B4F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29"/>
    <w:rsid w:val="00014FF1"/>
    <w:rsid w:val="0001549E"/>
    <w:rsid w:val="00017780"/>
    <w:rsid w:val="000558FC"/>
    <w:rsid w:val="0006104D"/>
    <w:rsid w:val="0007666F"/>
    <w:rsid w:val="00083031"/>
    <w:rsid w:val="00087BC1"/>
    <w:rsid w:val="00090493"/>
    <w:rsid w:val="0009793A"/>
    <w:rsid w:val="000C5F4B"/>
    <w:rsid w:val="000F6F9F"/>
    <w:rsid w:val="001403CC"/>
    <w:rsid w:val="00172C34"/>
    <w:rsid w:val="001801F0"/>
    <w:rsid w:val="00182CD5"/>
    <w:rsid w:val="00194069"/>
    <w:rsid w:val="001C0E12"/>
    <w:rsid w:val="001C6E13"/>
    <w:rsid w:val="00211AF4"/>
    <w:rsid w:val="00215F59"/>
    <w:rsid w:val="00224305"/>
    <w:rsid w:val="00246B96"/>
    <w:rsid w:val="00246E77"/>
    <w:rsid w:val="0028124D"/>
    <w:rsid w:val="00282EA3"/>
    <w:rsid w:val="00293F7A"/>
    <w:rsid w:val="002A1ADF"/>
    <w:rsid w:val="002A3693"/>
    <w:rsid w:val="002A4A65"/>
    <w:rsid w:val="002A7727"/>
    <w:rsid w:val="002F0181"/>
    <w:rsid w:val="003167EF"/>
    <w:rsid w:val="0032003B"/>
    <w:rsid w:val="00323420"/>
    <w:rsid w:val="00343AD8"/>
    <w:rsid w:val="003456FD"/>
    <w:rsid w:val="0035766B"/>
    <w:rsid w:val="0036015F"/>
    <w:rsid w:val="00374AB6"/>
    <w:rsid w:val="0037562D"/>
    <w:rsid w:val="003A3040"/>
    <w:rsid w:val="003A31DA"/>
    <w:rsid w:val="003C0FED"/>
    <w:rsid w:val="003C125C"/>
    <w:rsid w:val="003C42C5"/>
    <w:rsid w:val="003D1B80"/>
    <w:rsid w:val="003E01C3"/>
    <w:rsid w:val="003F1036"/>
    <w:rsid w:val="003F2EEF"/>
    <w:rsid w:val="00425695"/>
    <w:rsid w:val="0043579D"/>
    <w:rsid w:val="004522AF"/>
    <w:rsid w:val="00473AF7"/>
    <w:rsid w:val="00495F7B"/>
    <w:rsid w:val="004F55EF"/>
    <w:rsid w:val="00502609"/>
    <w:rsid w:val="00526F9D"/>
    <w:rsid w:val="0053028E"/>
    <w:rsid w:val="00552841"/>
    <w:rsid w:val="005A3E4D"/>
    <w:rsid w:val="005B0996"/>
    <w:rsid w:val="005F2444"/>
    <w:rsid w:val="005F44D2"/>
    <w:rsid w:val="00613B35"/>
    <w:rsid w:val="0062794A"/>
    <w:rsid w:val="00634016"/>
    <w:rsid w:val="0064129E"/>
    <w:rsid w:val="00656758"/>
    <w:rsid w:val="00661820"/>
    <w:rsid w:val="00661D94"/>
    <w:rsid w:val="00663192"/>
    <w:rsid w:val="006720BC"/>
    <w:rsid w:val="00676CE2"/>
    <w:rsid w:val="006867D0"/>
    <w:rsid w:val="006922C6"/>
    <w:rsid w:val="006B5ADD"/>
    <w:rsid w:val="006C0A75"/>
    <w:rsid w:val="006D6576"/>
    <w:rsid w:val="00703802"/>
    <w:rsid w:val="00717021"/>
    <w:rsid w:val="00732C0E"/>
    <w:rsid w:val="00792197"/>
    <w:rsid w:val="007A7A23"/>
    <w:rsid w:val="007A7FCC"/>
    <w:rsid w:val="007B3F70"/>
    <w:rsid w:val="007C6D67"/>
    <w:rsid w:val="007D2A2C"/>
    <w:rsid w:val="007F44CC"/>
    <w:rsid w:val="007F545B"/>
    <w:rsid w:val="00844482"/>
    <w:rsid w:val="00896FA3"/>
    <w:rsid w:val="008A7EFF"/>
    <w:rsid w:val="008C0CC0"/>
    <w:rsid w:val="008D056E"/>
    <w:rsid w:val="008E673D"/>
    <w:rsid w:val="008F36F6"/>
    <w:rsid w:val="008F5B10"/>
    <w:rsid w:val="008F671B"/>
    <w:rsid w:val="008F747C"/>
    <w:rsid w:val="00901537"/>
    <w:rsid w:val="0090232B"/>
    <w:rsid w:val="009106A2"/>
    <w:rsid w:val="009306EC"/>
    <w:rsid w:val="00931543"/>
    <w:rsid w:val="00937DCD"/>
    <w:rsid w:val="00954010"/>
    <w:rsid w:val="00957DE5"/>
    <w:rsid w:val="0096417B"/>
    <w:rsid w:val="009659F6"/>
    <w:rsid w:val="00991384"/>
    <w:rsid w:val="009D49C7"/>
    <w:rsid w:val="009E0190"/>
    <w:rsid w:val="009E14B7"/>
    <w:rsid w:val="00A112E8"/>
    <w:rsid w:val="00A1325C"/>
    <w:rsid w:val="00A23B32"/>
    <w:rsid w:val="00A5154B"/>
    <w:rsid w:val="00AA0FFA"/>
    <w:rsid w:val="00AA4F0C"/>
    <w:rsid w:val="00AC4217"/>
    <w:rsid w:val="00AE3CE3"/>
    <w:rsid w:val="00B050A9"/>
    <w:rsid w:val="00B15907"/>
    <w:rsid w:val="00B45829"/>
    <w:rsid w:val="00BA2E64"/>
    <w:rsid w:val="00BB3101"/>
    <w:rsid w:val="00BC1FCC"/>
    <w:rsid w:val="00BC5247"/>
    <w:rsid w:val="00BF6074"/>
    <w:rsid w:val="00C05D9C"/>
    <w:rsid w:val="00C11160"/>
    <w:rsid w:val="00C23192"/>
    <w:rsid w:val="00C62232"/>
    <w:rsid w:val="00C70B17"/>
    <w:rsid w:val="00C85FF8"/>
    <w:rsid w:val="00C91945"/>
    <w:rsid w:val="00C948DF"/>
    <w:rsid w:val="00C97F7E"/>
    <w:rsid w:val="00CA65E7"/>
    <w:rsid w:val="00CD1D81"/>
    <w:rsid w:val="00CE2127"/>
    <w:rsid w:val="00D02211"/>
    <w:rsid w:val="00D12324"/>
    <w:rsid w:val="00D17665"/>
    <w:rsid w:val="00D309D3"/>
    <w:rsid w:val="00D42018"/>
    <w:rsid w:val="00D56F5B"/>
    <w:rsid w:val="00D5744F"/>
    <w:rsid w:val="00D64183"/>
    <w:rsid w:val="00D65CA1"/>
    <w:rsid w:val="00D82BE1"/>
    <w:rsid w:val="00DA200B"/>
    <w:rsid w:val="00DC3548"/>
    <w:rsid w:val="00DC675B"/>
    <w:rsid w:val="00DC7189"/>
    <w:rsid w:val="00DD1DA3"/>
    <w:rsid w:val="00DD7E88"/>
    <w:rsid w:val="00E027FB"/>
    <w:rsid w:val="00E02B7C"/>
    <w:rsid w:val="00E12405"/>
    <w:rsid w:val="00E45529"/>
    <w:rsid w:val="00E46E02"/>
    <w:rsid w:val="00E477C8"/>
    <w:rsid w:val="00E57909"/>
    <w:rsid w:val="00E67B25"/>
    <w:rsid w:val="00E75D42"/>
    <w:rsid w:val="00E828FE"/>
    <w:rsid w:val="00E85242"/>
    <w:rsid w:val="00E92A4F"/>
    <w:rsid w:val="00E94852"/>
    <w:rsid w:val="00EB6A0F"/>
    <w:rsid w:val="00ED164F"/>
    <w:rsid w:val="00EF6628"/>
    <w:rsid w:val="00F00EE9"/>
    <w:rsid w:val="00F01A20"/>
    <w:rsid w:val="00F20CC6"/>
    <w:rsid w:val="00F4066D"/>
    <w:rsid w:val="00F472FD"/>
    <w:rsid w:val="00F61745"/>
    <w:rsid w:val="00F7178D"/>
    <w:rsid w:val="00F949F0"/>
    <w:rsid w:val="00FB3A2D"/>
    <w:rsid w:val="00FC0B0C"/>
    <w:rsid w:val="00FC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29"/>
    <w:pPr>
      <w:spacing w:after="0" w:line="240" w:lineRule="auto"/>
      <w:jc w:val="both"/>
    </w:pPr>
    <w:rPr>
      <w:rFonts w:ascii="Times New Roman" w:eastAsia="平成明朝" w:hAnsi="Times New Roman" w:cs="Times New Roman"/>
      <w:sz w:val="24"/>
      <w:szCs w:val="20"/>
    </w:rPr>
  </w:style>
  <w:style w:type="paragraph" w:styleId="Heading1">
    <w:name w:val="heading 1"/>
    <w:aliases w:val="1"/>
    <w:basedOn w:val="Normal"/>
    <w:next w:val="Normal"/>
    <w:link w:val="Heading1Char"/>
    <w:autoRedefine/>
    <w:qFormat/>
    <w:rsid w:val="00E477C8"/>
    <w:pPr>
      <w:keepNext/>
      <w:tabs>
        <w:tab w:val="left" w:pos="1389"/>
      </w:tabs>
      <w:spacing w:before="240"/>
      <w:ind w:left="567" w:hanging="567"/>
      <w:jc w:val="center"/>
      <w:outlineLvl w:val="0"/>
    </w:pPr>
    <w:rPr>
      <w:rFonts w:ascii="Arial" w:hAnsi="Arial"/>
      <w:b/>
      <w:bCs/>
      <w:sz w:val="36"/>
    </w:rPr>
  </w:style>
  <w:style w:type="paragraph" w:styleId="Heading2">
    <w:name w:val="heading 2"/>
    <w:aliases w:val="2,h2,2Level"/>
    <w:basedOn w:val="Normal"/>
    <w:next w:val="Normal"/>
    <w:link w:val="Heading2Char"/>
    <w:qFormat/>
    <w:rsid w:val="00B45829"/>
    <w:pPr>
      <w:pageBreakBefore/>
      <w:numPr>
        <w:ilvl w:val="1"/>
        <w:numId w:val="1"/>
      </w:numPr>
      <w:tabs>
        <w:tab w:val="left" w:pos="1440"/>
      </w:tabs>
      <w:spacing w:before="240" w:after="240"/>
      <w:outlineLvl w:val="1"/>
    </w:pPr>
    <w:rPr>
      <w:b/>
      <w:sz w:val="32"/>
      <w:u w:val="single"/>
    </w:rPr>
  </w:style>
  <w:style w:type="paragraph" w:styleId="Heading3">
    <w:name w:val="heading 3"/>
    <w:aliases w:val="3,h3"/>
    <w:basedOn w:val="Normal"/>
    <w:next w:val="Normal"/>
    <w:link w:val="Heading3Char"/>
    <w:qFormat/>
    <w:rsid w:val="00B45829"/>
    <w:pPr>
      <w:numPr>
        <w:ilvl w:val="2"/>
        <w:numId w:val="1"/>
      </w:numPr>
      <w:tabs>
        <w:tab w:val="left" w:pos="1440"/>
      </w:tabs>
      <w:spacing w:after="240"/>
      <w:outlineLvl w:val="2"/>
    </w:pPr>
    <w:rPr>
      <w:b/>
      <w:i/>
      <w:iCs/>
      <w:sz w:val="28"/>
      <w:u w:val="single"/>
    </w:rPr>
  </w:style>
  <w:style w:type="paragraph" w:styleId="Heading4">
    <w:name w:val="heading 4"/>
    <w:aliases w:val="4,h4"/>
    <w:basedOn w:val="Normal"/>
    <w:next w:val="Normal"/>
    <w:link w:val="Heading4Char"/>
    <w:qFormat/>
    <w:rsid w:val="00B45829"/>
    <w:pPr>
      <w:numPr>
        <w:ilvl w:val="3"/>
        <w:numId w:val="1"/>
      </w:numPr>
      <w:tabs>
        <w:tab w:val="left" w:pos="1440"/>
      </w:tabs>
      <w:spacing w:after="240"/>
      <w:outlineLvl w:val="3"/>
    </w:pPr>
    <w:rPr>
      <w:b/>
      <w:bCs/>
    </w:rPr>
  </w:style>
  <w:style w:type="paragraph" w:styleId="Heading5">
    <w:name w:val="heading 5"/>
    <w:aliases w:val="5"/>
    <w:basedOn w:val="Normal"/>
    <w:next w:val="Normal"/>
    <w:link w:val="Heading5Char"/>
    <w:qFormat/>
    <w:rsid w:val="00B45829"/>
    <w:pPr>
      <w:numPr>
        <w:ilvl w:val="4"/>
        <w:numId w:val="1"/>
      </w:numPr>
      <w:spacing w:after="240"/>
      <w:outlineLvl w:val="4"/>
    </w:pPr>
    <w:rPr>
      <w:i/>
    </w:rPr>
  </w:style>
  <w:style w:type="paragraph" w:styleId="Heading6">
    <w:name w:val="heading 6"/>
    <w:basedOn w:val="Normal"/>
    <w:next w:val="Normal"/>
    <w:link w:val="Heading6Char"/>
    <w:qFormat/>
    <w:rsid w:val="00B45829"/>
    <w:pPr>
      <w:keepNext/>
      <w:numPr>
        <w:ilvl w:val="5"/>
        <w:numId w:val="1"/>
      </w:numPr>
      <w:jc w:val="center"/>
      <w:outlineLvl w:val="5"/>
    </w:pPr>
    <w:rPr>
      <w:b/>
      <w:lang w:val="en-US"/>
    </w:rPr>
  </w:style>
  <w:style w:type="paragraph" w:styleId="Heading7">
    <w:name w:val="heading 7"/>
    <w:basedOn w:val="Normal"/>
    <w:next w:val="Normal"/>
    <w:link w:val="Heading7Char"/>
    <w:qFormat/>
    <w:rsid w:val="00B45829"/>
    <w:pPr>
      <w:numPr>
        <w:ilvl w:val="6"/>
        <w:numId w:val="1"/>
      </w:numPr>
      <w:tabs>
        <w:tab w:val="left" w:pos="8640"/>
        <w:tab w:val="left" w:pos="9504"/>
        <w:tab w:val="left" w:pos="10368"/>
        <w:tab w:val="left" w:pos="11232"/>
        <w:tab w:val="left" w:pos="12096"/>
        <w:tab w:val="left" w:pos="12960"/>
      </w:tabs>
      <w:spacing w:before="240" w:after="60"/>
      <w:outlineLvl w:val="6"/>
    </w:pPr>
    <w:rPr>
      <w:rFonts w:ascii="Helvetica" w:eastAsia="Times New Roman" w:hAnsi="Helvetica"/>
      <w:sz w:val="20"/>
      <w:lang w:val="en-US"/>
    </w:rPr>
  </w:style>
  <w:style w:type="paragraph" w:styleId="Heading8">
    <w:name w:val="heading 8"/>
    <w:aliases w:val="8"/>
    <w:basedOn w:val="Normal"/>
    <w:next w:val="Normal"/>
    <w:link w:val="Heading8Char"/>
    <w:qFormat/>
    <w:rsid w:val="00B45829"/>
    <w:pPr>
      <w:numPr>
        <w:ilvl w:val="7"/>
        <w:numId w:val="1"/>
      </w:numPr>
      <w:tabs>
        <w:tab w:val="left" w:pos="8640"/>
        <w:tab w:val="left" w:pos="9504"/>
        <w:tab w:val="left" w:pos="10368"/>
        <w:tab w:val="left" w:pos="11232"/>
        <w:tab w:val="left" w:pos="12096"/>
        <w:tab w:val="left" w:pos="12960"/>
      </w:tabs>
      <w:spacing w:before="240" w:after="60"/>
      <w:outlineLvl w:val="7"/>
    </w:pPr>
    <w:rPr>
      <w:rFonts w:ascii="Helvetica" w:eastAsia="Times New Roman" w:hAnsi="Helvetica"/>
      <w:i/>
      <w:sz w:val="20"/>
      <w:lang w:val="en-US"/>
    </w:rPr>
  </w:style>
  <w:style w:type="paragraph" w:styleId="Heading9">
    <w:name w:val="heading 9"/>
    <w:basedOn w:val="Normal"/>
    <w:next w:val="Normal"/>
    <w:link w:val="Heading9Char"/>
    <w:qFormat/>
    <w:rsid w:val="00B45829"/>
    <w:pPr>
      <w:numPr>
        <w:ilvl w:val="8"/>
        <w:numId w:val="1"/>
      </w:numPr>
      <w:tabs>
        <w:tab w:val="left" w:pos="8640"/>
        <w:tab w:val="left" w:pos="9504"/>
        <w:tab w:val="left" w:pos="10368"/>
        <w:tab w:val="left" w:pos="11232"/>
        <w:tab w:val="left" w:pos="12096"/>
        <w:tab w:val="left" w:pos="12960"/>
      </w:tabs>
      <w:spacing w:before="240" w:after="60"/>
      <w:outlineLvl w:val="8"/>
    </w:pPr>
    <w:rPr>
      <w:rFonts w:ascii="Helvetica" w:eastAsia="Times New Roman" w:hAnsi="Helvetica"/>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1">
    <w:name w:val="main body 1"/>
    <w:basedOn w:val="Normal"/>
    <w:rsid w:val="00B45829"/>
    <w:pPr>
      <w:spacing w:before="240" w:after="240"/>
    </w:pPr>
    <w:rPr>
      <w:rFonts w:eastAsia="SimSun"/>
      <w:szCs w:val="24"/>
    </w:rPr>
  </w:style>
  <w:style w:type="table" w:styleId="TableGrid">
    <w:name w:val="Table Grid"/>
    <w:basedOn w:val="TableNormal"/>
    <w:rsid w:val="00B45829"/>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rsid w:val="00E477C8"/>
    <w:rPr>
      <w:rFonts w:ascii="Arial" w:eastAsia="平成明朝" w:hAnsi="Arial" w:cs="Times New Roman"/>
      <w:b/>
      <w:bCs/>
      <w:sz w:val="36"/>
      <w:szCs w:val="20"/>
    </w:rPr>
  </w:style>
  <w:style w:type="character" w:customStyle="1" w:styleId="Heading2Char">
    <w:name w:val="Heading 2 Char"/>
    <w:aliases w:val="2 Char,h2 Char,2Level Char"/>
    <w:basedOn w:val="DefaultParagraphFont"/>
    <w:link w:val="Heading2"/>
    <w:rsid w:val="00B45829"/>
    <w:rPr>
      <w:rFonts w:ascii="Times New Roman" w:eastAsia="平成明朝" w:hAnsi="Times New Roman" w:cs="Times New Roman"/>
      <w:b/>
      <w:sz w:val="32"/>
      <w:szCs w:val="20"/>
      <w:u w:val="single"/>
    </w:rPr>
  </w:style>
  <w:style w:type="character" w:customStyle="1" w:styleId="Heading3Char">
    <w:name w:val="Heading 3 Char"/>
    <w:aliases w:val="3 Char,h3 Char"/>
    <w:basedOn w:val="DefaultParagraphFont"/>
    <w:link w:val="Heading3"/>
    <w:rsid w:val="00B45829"/>
    <w:rPr>
      <w:rFonts w:ascii="Times New Roman" w:eastAsia="平成明朝" w:hAnsi="Times New Roman" w:cs="Times New Roman"/>
      <w:b/>
      <w:i/>
      <w:iCs/>
      <w:sz w:val="28"/>
      <w:szCs w:val="20"/>
      <w:u w:val="single"/>
    </w:rPr>
  </w:style>
  <w:style w:type="character" w:customStyle="1" w:styleId="Heading4Char">
    <w:name w:val="Heading 4 Char"/>
    <w:aliases w:val="4 Char,h4 Char"/>
    <w:basedOn w:val="DefaultParagraphFont"/>
    <w:link w:val="Heading4"/>
    <w:rsid w:val="00B45829"/>
    <w:rPr>
      <w:rFonts w:ascii="Times New Roman" w:eastAsia="平成明朝" w:hAnsi="Times New Roman" w:cs="Times New Roman"/>
      <w:b/>
      <w:bCs/>
      <w:sz w:val="24"/>
      <w:szCs w:val="20"/>
    </w:rPr>
  </w:style>
  <w:style w:type="character" w:customStyle="1" w:styleId="Heading5Char">
    <w:name w:val="Heading 5 Char"/>
    <w:aliases w:val="5 Char"/>
    <w:basedOn w:val="DefaultParagraphFont"/>
    <w:link w:val="Heading5"/>
    <w:rsid w:val="00B45829"/>
    <w:rPr>
      <w:rFonts w:ascii="Times New Roman" w:eastAsia="平成明朝" w:hAnsi="Times New Roman" w:cs="Times New Roman"/>
      <w:i/>
      <w:sz w:val="24"/>
      <w:szCs w:val="20"/>
    </w:rPr>
  </w:style>
  <w:style w:type="character" w:customStyle="1" w:styleId="Heading6Char">
    <w:name w:val="Heading 6 Char"/>
    <w:basedOn w:val="DefaultParagraphFont"/>
    <w:link w:val="Heading6"/>
    <w:rsid w:val="00B45829"/>
    <w:rPr>
      <w:rFonts w:ascii="Times New Roman" w:eastAsia="平成明朝" w:hAnsi="Times New Roman" w:cs="Times New Roman"/>
      <w:b/>
      <w:sz w:val="24"/>
      <w:szCs w:val="20"/>
      <w:lang w:val="en-US"/>
    </w:rPr>
  </w:style>
  <w:style w:type="character" w:customStyle="1" w:styleId="Heading7Char">
    <w:name w:val="Heading 7 Char"/>
    <w:basedOn w:val="DefaultParagraphFont"/>
    <w:link w:val="Heading7"/>
    <w:rsid w:val="00B45829"/>
    <w:rPr>
      <w:rFonts w:ascii="Helvetica" w:eastAsia="Times New Roman" w:hAnsi="Helvetica" w:cs="Times New Roman"/>
      <w:sz w:val="20"/>
      <w:szCs w:val="20"/>
      <w:lang w:val="en-US"/>
    </w:rPr>
  </w:style>
  <w:style w:type="character" w:customStyle="1" w:styleId="Heading8Char">
    <w:name w:val="Heading 8 Char"/>
    <w:aliases w:val="8 Char"/>
    <w:basedOn w:val="DefaultParagraphFont"/>
    <w:link w:val="Heading8"/>
    <w:rsid w:val="00B45829"/>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B45829"/>
    <w:rPr>
      <w:rFonts w:ascii="Helvetica" w:eastAsia="Times New Roman" w:hAnsi="Helvetica" w:cs="Times New Roman"/>
      <w:i/>
      <w:sz w:val="18"/>
      <w:szCs w:val="20"/>
      <w:lang w:val="en-US"/>
    </w:rPr>
  </w:style>
  <w:style w:type="paragraph" w:styleId="ListParagraph">
    <w:name w:val="List Paragraph"/>
    <w:basedOn w:val="Normal"/>
    <w:uiPriority w:val="34"/>
    <w:qFormat/>
    <w:rsid w:val="00B45829"/>
    <w:pPr>
      <w:ind w:left="720"/>
      <w:contextualSpacing/>
    </w:pPr>
  </w:style>
  <w:style w:type="paragraph" w:styleId="Header">
    <w:name w:val="header"/>
    <w:basedOn w:val="Normal"/>
    <w:link w:val="HeaderChar"/>
    <w:uiPriority w:val="99"/>
    <w:unhideWhenUsed/>
    <w:rsid w:val="00B45829"/>
    <w:pPr>
      <w:tabs>
        <w:tab w:val="center" w:pos="4513"/>
        <w:tab w:val="right" w:pos="9026"/>
      </w:tabs>
    </w:pPr>
  </w:style>
  <w:style w:type="character" w:customStyle="1" w:styleId="HeaderChar">
    <w:name w:val="Header Char"/>
    <w:basedOn w:val="DefaultParagraphFont"/>
    <w:link w:val="Header"/>
    <w:uiPriority w:val="99"/>
    <w:rsid w:val="00B45829"/>
    <w:rPr>
      <w:rFonts w:ascii="Times New Roman" w:eastAsia="平成明朝" w:hAnsi="Times New Roman" w:cs="Times New Roman"/>
      <w:sz w:val="24"/>
      <w:szCs w:val="20"/>
    </w:rPr>
  </w:style>
  <w:style w:type="paragraph" w:styleId="Footer">
    <w:name w:val="footer"/>
    <w:basedOn w:val="Normal"/>
    <w:link w:val="FooterChar"/>
    <w:uiPriority w:val="99"/>
    <w:unhideWhenUsed/>
    <w:rsid w:val="00B45829"/>
    <w:pPr>
      <w:tabs>
        <w:tab w:val="center" w:pos="4513"/>
        <w:tab w:val="right" w:pos="9026"/>
      </w:tabs>
    </w:pPr>
  </w:style>
  <w:style w:type="character" w:customStyle="1" w:styleId="FooterChar">
    <w:name w:val="Footer Char"/>
    <w:basedOn w:val="DefaultParagraphFont"/>
    <w:link w:val="Footer"/>
    <w:uiPriority w:val="99"/>
    <w:rsid w:val="00B45829"/>
    <w:rPr>
      <w:rFonts w:ascii="Times New Roman" w:eastAsia="平成明朝" w:hAnsi="Times New Roman" w:cs="Times New Roman"/>
      <w:sz w:val="24"/>
      <w:szCs w:val="20"/>
    </w:rPr>
  </w:style>
  <w:style w:type="table" w:customStyle="1" w:styleId="TableGrid1">
    <w:name w:val="Table Grid1"/>
    <w:basedOn w:val="TableNormal"/>
    <w:next w:val="TableGrid"/>
    <w:uiPriority w:val="59"/>
    <w:rsid w:val="00D3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7C8"/>
    <w:rPr>
      <w:rFonts w:ascii="Tahoma" w:hAnsi="Tahoma" w:cs="Tahoma"/>
      <w:sz w:val="16"/>
      <w:szCs w:val="16"/>
    </w:rPr>
  </w:style>
  <w:style w:type="character" w:customStyle="1" w:styleId="BalloonTextChar">
    <w:name w:val="Balloon Text Char"/>
    <w:basedOn w:val="DefaultParagraphFont"/>
    <w:link w:val="BalloonText"/>
    <w:uiPriority w:val="99"/>
    <w:semiHidden/>
    <w:rsid w:val="00E477C8"/>
    <w:rPr>
      <w:rFonts w:ascii="Tahoma" w:eastAsia="平成明朝" w:hAnsi="Tahoma" w:cs="Tahoma"/>
      <w:sz w:val="16"/>
      <w:szCs w:val="16"/>
    </w:rPr>
  </w:style>
  <w:style w:type="table" w:customStyle="1" w:styleId="TableGrid11">
    <w:name w:val="Table Grid11"/>
    <w:basedOn w:val="TableNormal"/>
    <w:next w:val="TableGrid"/>
    <w:uiPriority w:val="59"/>
    <w:rsid w:val="00AC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A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29"/>
    <w:pPr>
      <w:spacing w:after="0" w:line="240" w:lineRule="auto"/>
      <w:jc w:val="both"/>
    </w:pPr>
    <w:rPr>
      <w:rFonts w:ascii="Times New Roman" w:eastAsia="平成明朝" w:hAnsi="Times New Roman" w:cs="Times New Roman"/>
      <w:sz w:val="24"/>
      <w:szCs w:val="20"/>
    </w:rPr>
  </w:style>
  <w:style w:type="paragraph" w:styleId="Heading1">
    <w:name w:val="heading 1"/>
    <w:aliases w:val="1"/>
    <w:basedOn w:val="Normal"/>
    <w:next w:val="Normal"/>
    <w:link w:val="Heading1Char"/>
    <w:autoRedefine/>
    <w:qFormat/>
    <w:rsid w:val="00E477C8"/>
    <w:pPr>
      <w:keepNext/>
      <w:tabs>
        <w:tab w:val="left" w:pos="1389"/>
      </w:tabs>
      <w:spacing w:before="240"/>
      <w:ind w:left="567" w:hanging="567"/>
      <w:jc w:val="center"/>
      <w:outlineLvl w:val="0"/>
    </w:pPr>
    <w:rPr>
      <w:rFonts w:ascii="Arial" w:hAnsi="Arial"/>
      <w:b/>
      <w:bCs/>
      <w:sz w:val="36"/>
    </w:rPr>
  </w:style>
  <w:style w:type="paragraph" w:styleId="Heading2">
    <w:name w:val="heading 2"/>
    <w:aliases w:val="2,h2,2Level"/>
    <w:basedOn w:val="Normal"/>
    <w:next w:val="Normal"/>
    <w:link w:val="Heading2Char"/>
    <w:qFormat/>
    <w:rsid w:val="00B45829"/>
    <w:pPr>
      <w:pageBreakBefore/>
      <w:numPr>
        <w:ilvl w:val="1"/>
        <w:numId w:val="1"/>
      </w:numPr>
      <w:tabs>
        <w:tab w:val="left" w:pos="1440"/>
      </w:tabs>
      <w:spacing w:before="240" w:after="240"/>
      <w:outlineLvl w:val="1"/>
    </w:pPr>
    <w:rPr>
      <w:b/>
      <w:sz w:val="32"/>
      <w:u w:val="single"/>
    </w:rPr>
  </w:style>
  <w:style w:type="paragraph" w:styleId="Heading3">
    <w:name w:val="heading 3"/>
    <w:aliases w:val="3,h3"/>
    <w:basedOn w:val="Normal"/>
    <w:next w:val="Normal"/>
    <w:link w:val="Heading3Char"/>
    <w:qFormat/>
    <w:rsid w:val="00B45829"/>
    <w:pPr>
      <w:numPr>
        <w:ilvl w:val="2"/>
        <w:numId w:val="1"/>
      </w:numPr>
      <w:tabs>
        <w:tab w:val="left" w:pos="1440"/>
      </w:tabs>
      <w:spacing w:after="240"/>
      <w:outlineLvl w:val="2"/>
    </w:pPr>
    <w:rPr>
      <w:b/>
      <w:i/>
      <w:iCs/>
      <w:sz w:val="28"/>
      <w:u w:val="single"/>
    </w:rPr>
  </w:style>
  <w:style w:type="paragraph" w:styleId="Heading4">
    <w:name w:val="heading 4"/>
    <w:aliases w:val="4,h4"/>
    <w:basedOn w:val="Normal"/>
    <w:next w:val="Normal"/>
    <w:link w:val="Heading4Char"/>
    <w:qFormat/>
    <w:rsid w:val="00B45829"/>
    <w:pPr>
      <w:numPr>
        <w:ilvl w:val="3"/>
        <w:numId w:val="1"/>
      </w:numPr>
      <w:tabs>
        <w:tab w:val="left" w:pos="1440"/>
      </w:tabs>
      <w:spacing w:after="240"/>
      <w:outlineLvl w:val="3"/>
    </w:pPr>
    <w:rPr>
      <w:b/>
      <w:bCs/>
    </w:rPr>
  </w:style>
  <w:style w:type="paragraph" w:styleId="Heading5">
    <w:name w:val="heading 5"/>
    <w:aliases w:val="5"/>
    <w:basedOn w:val="Normal"/>
    <w:next w:val="Normal"/>
    <w:link w:val="Heading5Char"/>
    <w:qFormat/>
    <w:rsid w:val="00B45829"/>
    <w:pPr>
      <w:numPr>
        <w:ilvl w:val="4"/>
        <w:numId w:val="1"/>
      </w:numPr>
      <w:spacing w:after="240"/>
      <w:outlineLvl w:val="4"/>
    </w:pPr>
    <w:rPr>
      <w:i/>
    </w:rPr>
  </w:style>
  <w:style w:type="paragraph" w:styleId="Heading6">
    <w:name w:val="heading 6"/>
    <w:basedOn w:val="Normal"/>
    <w:next w:val="Normal"/>
    <w:link w:val="Heading6Char"/>
    <w:qFormat/>
    <w:rsid w:val="00B45829"/>
    <w:pPr>
      <w:keepNext/>
      <w:numPr>
        <w:ilvl w:val="5"/>
        <w:numId w:val="1"/>
      </w:numPr>
      <w:jc w:val="center"/>
      <w:outlineLvl w:val="5"/>
    </w:pPr>
    <w:rPr>
      <w:b/>
      <w:lang w:val="en-US"/>
    </w:rPr>
  </w:style>
  <w:style w:type="paragraph" w:styleId="Heading7">
    <w:name w:val="heading 7"/>
    <w:basedOn w:val="Normal"/>
    <w:next w:val="Normal"/>
    <w:link w:val="Heading7Char"/>
    <w:qFormat/>
    <w:rsid w:val="00B45829"/>
    <w:pPr>
      <w:numPr>
        <w:ilvl w:val="6"/>
        <w:numId w:val="1"/>
      </w:numPr>
      <w:tabs>
        <w:tab w:val="left" w:pos="8640"/>
        <w:tab w:val="left" w:pos="9504"/>
        <w:tab w:val="left" w:pos="10368"/>
        <w:tab w:val="left" w:pos="11232"/>
        <w:tab w:val="left" w:pos="12096"/>
        <w:tab w:val="left" w:pos="12960"/>
      </w:tabs>
      <w:spacing w:before="240" w:after="60"/>
      <w:outlineLvl w:val="6"/>
    </w:pPr>
    <w:rPr>
      <w:rFonts w:ascii="Helvetica" w:eastAsia="Times New Roman" w:hAnsi="Helvetica"/>
      <w:sz w:val="20"/>
      <w:lang w:val="en-US"/>
    </w:rPr>
  </w:style>
  <w:style w:type="paragraph" w:styleId="Heading8">
    <w:name w:val="heading 8"/>
    <w:aliases w:val="8"/>
    <w:basedOn w:val="Normal"/>
    <w:next w:val="Normal"/>
    <w:link w:val="Heading8Char"/>
    <w:qFormat/>
    <w:rsid w:val="00B45829"/>
    <w:pPr>
      <w:numPr>
        <w:ilvl w:val="7"/>
        <w:numId w:val="1"/>
      </w:numPr>
      <w:tabs>
        <w:tab w:val="left" w:pos="8640"/>
        <w:tab w:val="left" w:pos="9504"/>
        <w:tab w:val="left" w:pos="10368"/>
        <w:tab w:val="left" w:pos="11232"/>
        <w:tab w:val="left" w:pos="12096"/>
        <w:tab w:val="left" w:pos="12960"/>
      </w:tabs>
      <w:spacing w:before="240" w:after="60"/>
      <w:outlineLvl w:val="7"/>
    </w:pPr>
    <w:rPr>
      <w:rFonts w:ascii="Helvetica" w:eastAsia="Times New Roman" w:hAnsi="Helvetica"/>
      <w:i/>
      <w:sz w:val="20"/>
      <w:lang w:val="en-US"/>
    </w:rPr>
  </w:style>
  <w:style w:type="paragraph" w:styleId="Heading9">
    <w:name w:val="heading 9"/>
    <w:basedOn w:val="Normal"/>
    <w:next w:val="Normal"/>
    <w:link w:val="Heading9Char"/>
    <w:qFormat/>
    <w:rsid w:val="00B45829"/>
    <w:pPr>
      <w:numPr>
        <w:ilvl w:val="8"/>
        <w:numId w:val="1"/>
      </w:numPr>
      <w:tabs>
        <w:tab w:val="left" w:pos="8640"/>
        <w:tab w:val="left" w:pos="9504"/>
        <w:tab w:val="left" w:pos="10368"/>
        <w:tab w:val="left" w:pos="11232"/>
        <w:tab w:val="left" w:pos="12096"/>
        <w:tab w:val="left" w:pos="12960"/>
      </w:tabs>
      <w:spacing w:before="240" w:after="60"/>
      <w:outlineLvl w:val="8"/>
    </w:pPr>
    <w:rPr>
      <w:rFonts w:ascii="Helvetica" w:eastAsia="Times New Roman" w:hAnsi="Helvetica"/>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1">
    <w:name w:val="main body 1"/>
    <w:basedOn w:val="Normal"/>
    <w:rsid w:val="00B45829"/>
    <w:pPr>
      <w:spacing w:before="240" w:after="240"/>
    </w:pPr>
    <w:rPr>
      <w:rFonts w:eastAsia="SimSun"/>
      <w:szCs w:val="24"/>
    </w:rPr>
  </w:style>
  <w:style w:type="table" w:styleId="TableGrid">
    <w:name w:val="Table Grid"/>
    <w:basedOn w:val="TableNormal"/>
    <w:rsid w:val="00B45829"/>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rsid w:val="00E477C8"/>
    <w:rPr>
      <w:rFonts w:ascii="Arial" w:eastAsia="平成明朝" w:hAnsi="Arial" w:cs="Times New Roman"/>
      <w:b/>
      <w:bCs/>
      <w:sz w:val="36"/>
      <w:szCs w:val="20"/>
    </w:rPr>
  </w:style>
  <w:style w:type="character" w:customStyle="1" w:styleId="Heading2Char">
    <w:name w:val="Heading 2 Char"/>
    <w:aliases w:val="2 Char,h2 Char,2Level Char"/>
    <w:basedOn w:val="DefaultParagraphFont"/>
    <w:link w:val="Heading2"/>
    <w:rsid w:val="00B45829"/>
    <w:rPr>
      <w:rFonts w:ascii="Times New Roman" w:eastAsia="平成明朝" w:hAnsi="Times New Roman" w:cs="Times New Roman"/>
      <w:b/>
      <w:sz w:val="32"/>
      <w:szCs w:val="20"/>
      <w:u w:val="single"/>
    </w:rPr>
  </w:style>
  <w:style w:type="character" w:customStyle="1" w:styleId="Heading3Char">
    <w:name w:val="Heading 3 Char"/>
    <w:aliases w:val="3 Char,h3 Char"/>
    <w:basedOn w:val="DefaultParagraphFont"/>
    <w:link w:val="Heading3"/>
    <w:rsid w:val="00B45829"/>
    <w:rPr>
      <w:rFonts w:ascii="Times New Roman" w:eastAsia="平成明朝" w:hAnsi="Times New Roman" w:cs="Times New Roman"/>
      <w:b/>
      <w:i/>
      <w:iCs/>
      <w:sz w:val="28"/>
      <w:szCs w:val="20"/>
      <w:u w:val="single"/>
    </w:rPr>
  </w:style>
  <w:style w:type="character" w:customStyle="1" w:styleId="Heading4Char">
    <w:name w:val="Heading 4 Char"/>
    <w:aliases w:val="4 Char,h4 Char"/>
    <w:basedOn w:val="DefaultParagraphFont"/>
    <w:link w:val="Heading4"/>
    <w:rsid w:val="00B45829"/>
    <w:rPr>
      <w:rFonts w:ascii="Times New Roman" w:eastAsia="平成明朝" w:hAnsi="Times New Roman" w:cs="Times New Roman"/>
      <w:b/>
      <w:bCs/>
      <w:sz w:val="24"/>
      <w:szCs w:val="20"/>
    </w:rPr>
  </w:style>
  <w:style w:type="character" w:customStyle="1" w:styleId="Heading5Char">
    <w:name w:val="Heading 5 Char"/>
    <w:aliases w:val="5 Char"/>
    <w:basedOn w:val="DefaultParagraphFont"/>
    <w:link w:val="Heading5"/>
    <w:rsid w:val="00B45829"/>
    <w:rPr>
      <w:rFonts w:ascii="Times New Roman" w:eastAsia="平成明朝" w:hAnsi="Times New Roman" w:cs="Times New Roman"/>
      <w:i/>
      <w:sz w:val="24"/>
      <w:szCs w:val="20"/>
    </w:rPr>
  </w:style>
  <w:style w:type="character" w:customStyle="1" w:styleId="Heading6Char">
    <w:name w:val="Heading 6 Char"/>
    <w:basedOn w:val="DefaultParagraphFont"/>
    <w:link w:val="Heading6"/>
    <w:rsid w:val="00B45829"/>
    <w:rPr>
      <w:rFonts w:ascii="Times New Roman" w:eastAsia="平成明朝" w:hAnsi="Times New Roman" w:cs="Times New Roman"/>
      <w:b/>
      <w:sz w:val="24"/>
      <w:szCs w:val="20"/>
      <w:lang w:val="en-US"/>
    </w:rPr>
  </w:style>
  <w:style w:type="character" w:customStyle="1" w:styleId="Heading7Char">
    <w:name w:val="Heading 7 Char"/>
    <w:basedOn w:val="DefaultParagraphFont"/>
    <w:link w:val="Heading7"/>
    <w:rsid w:val="00B45829"/>
    <w:rPr>
      <w:rFonts w:ascii="Helvetica" w:eastAsia="Times New Roman" w:hAnsi="Helvetica" w:cs="Times New Roman"/>
      <w:sz w:val="20"/>
      <w:szCs w:val="20"/>
      <w:lang w:val="en-US"/>
    </w:rPr>
  </w:style>
  <w:style w:type="character" w:customStyle="1" w:styleId="Heading8Char">
    <w:name w:val="Heading 8 Char"/>
    <w:aliases w:val="8 Char"/>
    <w:basedOn w:val="DefaultParagraphFont"/>
    <w:link w:val="Heading8"/>
    <w:rsid w:val="00B45829"/>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B45829"/>
    <w:rPr>
      <w:rFonts w:ascii="Helvetica" w:eastAsia="Times New Roman" w:hAnsi="Helvetica" w:cs="Times New Roman"/>
      <w:i/>
      <w:sz w:val="18"/>
      <w:szCs w:val="20"/>
      <w:lang w:val="en-US"/>
    </w:rPr>
  </w:style>
  <w:style w:type="paragraph" w:styleId="ListParagraph">
    <w:name w:val="List Paragraph"/>
    <w:basedOn w:val="Normal"/>
    <w:uiPriority w:val="34"/>
    <w:qFormat/>
    <w:rsid w:val="00B45829"/>
    <w:pPr>
      <w:ind w:left="720"/>
      <w:contextualSpacing/>
    </w:pPr>
  </w:style>
  <w:style w:type="paragraph" w:styleId="Header">
    <w:name w:val="header"/>
    <w:basedOn w:val="Normal"/>
    <w:link w:val="HeaderChar"/>
    <w:uiPriority w:val="99"/>
    <w:unhideWhenUsed/>
    <w:rsid w:val="00B45829"/>
    <w:pPr>
      <w:tabs>
        <w:tab w:val="center" w:pos="4513"/>
        <w:tab w:val="right" w:pos="9026"/>
      </w:tabs>
    </w:pPr>
  </w:style>
  <w:style w:type="character" w:customStyle="1" w:styleId="HeaderChar">
    <w:name w:val="Header Char"/>
    <w:basedOn w:val="DefaultParagraphFont"/>
    <w:link w:val="Header"/>
    <w:uiPriority w:val="99"/>
    <w:rsid w:val="00B45829"/>
    <w:rPr>
      <w:rFonts w:ascii="Times New Roman" w:eastAsia="平成明朝" w:hAnsi="Times New Roman" w:cs="Times New Roman"/>
      <w:sz w:val="24"/>
      <w:szCs w:val="20"/>
    </w:rPr>
  </w:style>
  <w:style w:type="paragraph" w:styleId="Footer">
    <w:name w:val="footer"/>
    <w:basedOn w:val="Normal"/>
    <w:link w:val="FooterChar"/>
    <w:uiPriority w:val="99"/>
    <w:unhideWhenUsed/>
    <w:rsid w:val="00B45829"/>
    <w:pPr>
      <w:tabs>
        <w:tab w:val="center" w:pos="4513"/>
        <w:tab w:val="right" w:pos="9026"/>
      </w:tabs>
    </w:pPr>
  </w:style>
  <w:style w:type="character" w:customStyle="1" w:styleId="FooterChar">
    <w:name w:val="Footer Char"/>
    <w:basedOn w:val="DefaultParagraphFont"/>
    <w:link w:val="Footer"/>
    <w:uiPriority w:val="99"/>
    <w:rsid w:val="00B45829"/>
    <w:rPr>
      <w:rFonts w:ascii="Times New Roman" w:eastAsia="平成明朝" w:hAnsi="Times New Roman" w:cs="Times New Roman"/>
      <w:sz w:val="24"/>
      <w:szCs w:val="20"/>
    </w:rPr>
  </w:style>
  <w:style w:type="table" w:customStyle="1" w:styleId="TableGrid1">
    <w:name w:val="Table Grid1"/>
    <w:basedOn w:val="TableNormal"/>
    <w:next w:val="TableGrid"/>
    <w:uiPriority w:val="59"/>
    <w:rsid w:val="00D3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7C8"/>
    <w:rPr>
      <w:rFonts w:ascii="Tahoma" w:hAnsi="Tahoma" w:cs="Tahoma"/>
      <w:sz w:val="16"/>
      <w:szCs w:val="16"/>
    </w:rPr>
  </w:style>
  <w:style w:type="character" w:customStyle="1" w:styleId="BalloonTextChar">
    <w:name w:val="Balloon Text Char"/>
    <w:basedOn w:val="DefaultParagraphFont"/>
    <w:link w:val="BalloonText"/>
    <w:uiPriority w:val="99"/>
    <w:semiHidden/>
    <w:rsid w:val="00E477C8"/>
    <w:rPr>
      <w:rFonts w:ascii="Tahoma" w:eastAsia="平成明朝" w:hAnsi="Tahoma" w:cs="Tahoma"/>
      <w:sz w:val="16"/>
      <w:szCs w:val="16"/>
    </w:rPr>
  </w:style>
  <w:style w:type="table" w:customStyle="1" w:styleId="TableGrid11">
    <w:name w:val="Table Grid11"/>
    <w:basedOn w:val="TableNormal"/>
    <w:next w:val="TableGrid"/>
    <w:uiPriority w:val="59"/>
    <w:rsid w:val="00AC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A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B7D0-3F18-46B0-B758-9B5691DA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giraudbe</dc:creator>
  <cp:keywords/>
  <dc:description/>
  <cp:lastModifiedBy>Dovas Ioannis EXT</cp:lastModifiedBy>
  <cp:revision>86</cp:revision>
  <cp:lastPrinted>2015-10-23T10:25:00Z</cp:lastPrinted>
  <dcterms:created xsi:type="dcterms:W3CDTF">2013-04-05T14:18:00Z</dcterms:created>
  <dcterms:modified xsi:type="dcterms:W3CDTF">2016-03-22T12:01:00Z</dcterms:modified>
</cp:coreProperties>
</file>